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C3D9" w14:textId="77777777" w:rsidR="007341A8" w:rsidRDefault="007341A8">
      <w:pPr>
        <w:pStyle w:val="BodyText"/>
        <w:ind w:left="0"/>
        <w:rPr>
          <w:b/>
          <w:i w:val="0"/>
        </w:rPr>
      </w:pPr>
      <w:r>
        <w:rPr>
          <w:i w:val="0"/>
        </w:rPr>
        <w:tab/>
      </w:r>
      <w:r>
        <w:rPr>
          <w:b/>
          <w:i w:val="0"/>
        </w:rPr>
        <w:t>Catherine Mary MacRobert</w:t>
      </w:r>
    </w:p>
    <w:p w14:paraId="7E5DBF3F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‘Two for the Price of One: the Psalter MS Peć 68’, </w:t>
      </w:r>
      <w:r>
        <w:t>Oxford Slavonic Papers</w:t>
      </w:r>
      <w:r>
        <w:rPr>
          <w:i w:val="0"/>
        </w:rPr>
        <w:t>, New Series xxii (1989), 1-33.</w:t>
      </w:r>
    </w:p>
    <w:p w14:paraId="6D7EBCEF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‘The Greek Textological Basis of the Early Redactions of the Church Slavonic Psalter’, </w:t>
      </w:r>
      <w:r>
        <w:t>Palaeobulgarica</w:t>
      </w:r>
      <w:r>
        <w:rPr>
          <w:i w:val="0"/>
        </w:rPr>
        <w:t>, xiv:2 (1990), 7-15.</w:t>
      </w:r>
    </w:p>
    <w:p w14:paraId="32231024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‘What is a Faithful Translation? Changing Norms in the Church Slavonic Version of the Psalter’, </w:t>
      </w:r>
      <w:r>
        <w:t>The Slavonic and East European Review</w:t>
      </w:r>
      <w:r>
        <w:rPr>
          <w:i w:val="0"/>
        </w:rPr>
        <w:t>, lxix:3 (1991), 401-17.</w:t>
      </w:r>
    </w:p>
    <w:p w14:paraId="062EFD8A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‘The Systems of Supplementary Penitential Texts in the Psalter MSS Peć 68, Belgrade 36 and Pljevlja 80’, </w:t>
      </w:r>
      <w:r>
        <w:t>Oxford Slavonic Papers</w:t>
      </w:r>
      <w:r>
        <w:rPr>
          <w:i w:val="0"/>
        </w:rPr>
        <w:t>, New Series</w:t>
      </w:r>
      <w:r w:rsidR="002474A9">
        <w:rPr>
          <w:i w:val="0"/>
        </w:rPr>
        <w:t>,</w:t>
      </w:r>
      <w:r>
        <w:rPr>
          <w:i w:val="0"/>
        </w:rPr>
        <w:t xml:space="preserve"> xxiv (1991)</w:t>
      </w:r>
      <w:r w:rsidR="002474A9">
        <w:rPr>
          <w:i w:val="0"/>
        </w:rPr>
        <w:t>,</w:t>
      </w:r>
      <w:r>
        <w:rPr>
          <w:i w:val="0"/>
        </w:rPr>
        <w:t xml:space="preserve"> 1-22.</w:t>
      </w:r>
    </w:p>
    <w:p w14:paraId="53C13D0C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‘Two Lykewake Psalters: the MSS Västerås/UUB5/UUB6 and Jaroslavl' 15482’, </w:t>
      </w:r>
      <w:r>
        <w:t>Scando-Slavica</w:t>
      </w:r>
      <w:r>
        <w:rPr>
          <w:i w:val="0"/>
        </w:rPr>
        <w:t>, xxxviii (1992)</w:t>
      </w:r>
      <w:r w:rsidR="00A91EC1">
        <w:rPr>
          <w:i w:val="0"/>
        </w:rPr>
        <w:t>,</w:t>
      </w:r>
      <w:r>
        <w:rPr>
          <w:i w:val="0"/>
        </w:rPr>
        <w:t xml:space="preserve"> 108-127.</w:t>
      </w:r>
    </w:p>
    <w:p w14:paraId="374FCBC1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‘Translation is Interpretation: Lexical Variation in the Translation of the Psalter from Greek into Church Slavonic up to the 15th Century’, </w:t>
      </w:r>
      <w:r>
        <w:t>Zeitschrift für slavische Philologie</w:t>
      </w:r>
      <w:r>
        <w:rPr>
          <w:i w:val="0"/>
        </w:rPr>
        <w:t>, liii:2 (1993), 254-84.</w:t>
      </w:r>
    </w:p>
    <w:p w14:paraId="0B486F27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‘A Missing Link in the Early Tradition of the Church Slavonic Psalter (the Tolstoy, Sluck, Eugenius and Vienna Psalters and MS 34 of the Moscow Synodal Typography)’, </w:t>
      </w:r>
      <w:r>
        <w:t>Wiener slavistisches Jahrbuch</w:t>
      </w:r>
      <w:r>
        <w:rPr>
          <w:i w:val="0"/>
        </w:rPr>
        <w:t>, xxxix (1993), 57-81.</w:t>
      </w:r>
    </w:p>
    <w:p w14:paraId="74DCDBF2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‘The Textual Tradition of the Oxford Serbian Psalter MS e Mus 184’, </w:t>
      </w:r>
      <w:r>
        <w:t>Polata k"nigopis'naja</w:t>
      </w:r>
      <w:r w:rsidR="00A91EC1">
        <w:rPr>
          <w:i w:val="0"/>
        </w:rPr>
        <w:t>, xx</w:t>
      </w:r>
      <w:r w:rsidR="00550D2D">
        <w:rPr>
          <w:i w:val="0"/>
        </w:rPr>
        <w:t>v-xxv</w:t>
      </w:r>
      <w:r>
        <w:rPr>
          <w:i w:val="0"/>
        </w:rPr>
        <w:t>i (1994), 146-54.</w:t>
      </w:r>
    </w:p>
    <w:p w14:paraId="57EEB645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‘Problems in the study of the “Athonite” redaction of the Psalter in South Slavonic manuscripts’, </w:t>
      </w:r>
      <w:r>
        <w:t>Studies of Medieval South Slavic Manuscripts. Proceedings of the 3rd International Hilandar Conference held from March 28 to 30, 1989</w:t>
      </w:r>
      <w:r>
        <w:rPr>
          <w:i w:val="0"/>
        </w:rPr>
        <w:t>, ed. P. Ivić</w:t>
      </w:r>
      <w:r>
        <w:rPr>
          <w:rFonts w:ascii="Times New Rom Efo PS" w:hAnsi="Times New Rom Efo PS"/>
          <w:i w:val="0"/>
        </w:rPr>
        <w:t xml:space="preserve"> </w:t>
      </w:r>
      <w:r>
        <w:rPr>
          <w:i w:val="0"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i w:val="0"/>
            </w:rPr>
            <w:t>Belgrade</w:t>
          </w:r>
        </w:smartTag>
      </w:smartTag>
      <w:r>
        <w:rPr>
          <w:i w:val="0"/>
        </w:rPr>
        <w:t>, 1995), 195-213.</w:t>
      </w:r>
    </w:p>
    <w:p w14:paraId="73B7F543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‘The classificatory importance of headings and liturgical directions in Church Slavonic psalters of the 11th-15th centuries’, </w:t>
      </w:r>
      <w:r>
        <w:t>Byzantinoslavica</w:t>
      </w:r>
      <w:r>
        <w:rPr>
          <w:i w:val="0"/>
        </w:rPr>
        <w:t>, lvii (1996), 156-81.</w:t>
      </w:r>
    </w:p>
    <w:p w14:paraId="7349010D" w14:textId="77777777" w:rsidR="007341A8" w:rsidRDefault="007341A8">
      <w:pPr>
        <w:pStyle w:val="BodyText"/>
        <w:ind w:left="0"/>
      </w:pPr>
      <w:r>
        <w:rPr>
          <w:i w:val="0"/>
        </w:rPr>
        <w:t xml:space="preserve">‘The historical significance of the Frolov Psalter (Russian National Library, F.п.I.3)’, </w:t>
      </w:r>
      <w:r>
        <w:t>Die Welt der Slaven</w:t>
      </w:r>
      <w:r>
        <w:rPr>
          <w:i w:val="0"/>
        </w:rPr>
        <w:t>, xlii (1997), 34-46</w:t>
      </w:r>
      <w:r>
        <w:t>.</w:t>
      </w:r>
    </w:p>
    <w:p w14:paraId="52BA3759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‘Kakav je bio psaltir srpskih srednjovekovnih književnika?’, </w:t>
      </w:r>
      <w:r>
        <w:t>Naučni sastanak slavista u Vukove dane</w:t>
      </w:r>
      <w:r>
        <w:rPr>
          <w:i w:val="0"/>
        </w:rPr>
        <w:t xml:space="preserve">, 26:1, </w:t>
      </w:r>
      <w:r>
        <w:t>Srpska književnost i Sveto pismo</w:t>
      </w:r>
      <w:r>
        <w:rPr>
          <w:i w:val="0"/>
        </w:rPr>
        <w:t xml:space="preserve">, ed. B. Ćorić </w:t>
      </w:r>
      <w:r>
        <w:rPr>
          <w:iCs/>
        </w:rPr>
        <w:t>et al.</w:t>
      </w:r>
      <w:r>
        <w:rPr>
          <w:i w:val="0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i w:val="0"/>
            </w:rPr>
            <w:t>Belgrade</w:t>
          </w:r>
        </w:smartTag>
      </w:smartTag>
      <w:r>
        <w:rPr>
          <w:i w:val="0"/>
        </w:rPr>
        <w:t>, 1997), 25-32.</w:t>
      </w:r>
    </w:p>
    <w:p w14:paraId="4CEA3343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‘What was the </w:t>
      </w:r>
      <w:r>
        <w:t>izvod Svetogorski</w:t>
      </w:r>
      <w:r>
        <w:rPr>
          <w:i w:val="0"/>
        </w:rPr>
        <w:t xml:space="preserve">?’, </w:t>
      </w:r>
      <w:r>
        <w:t>Rus´ i ju</w:t>
      </w:r>
      <w:r w:rsidR="00A25D39">
        <w:t>ž</w:t>
      </w:r>
      <w:r>
        <w:t>nye slavjane. Sbornik statej k 100-letiju so dnja ro</w:t>
      </w:r>
      <w:r w:rsidR="00A25D39">
        <w:t>ž</w:t>
      </w:r>
      <w:r>
        <w:t>denija V. A. Mošina (1894-1987)</w:t>
      </w:r>
      <w:r>
        <w:rPr>
          <w:i w:val="0"/>
        </w:rPr>
        <w:t>, ed. V. M. Zagrebin (St. Petersburg, 1998), 272-83.</w:t>
      </w:r>
    </w:p>
    <w:p w14:paraId="4FBD7AB0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‘The </w:t>
      </w:r>
      <w:r>
        <w:rPr>
          <w:i w:val="0"/>
          <w:caps/>
        </w:rPr>
        <w:t>t</w:t>
      </w:r>
      <w:r>
        <w:rPr>
          <w:i w:val="0"/>
        </w:rPr>
        <w:t xml:space="preserve">extual </w:t>
      </w:r>
      <w:r>
        <w:rPr>
          <w:i w:val="0"/>
          <w:caps/>
        </w:rPr>
        <w:t>t</w:t>
      </w:r>
      <w:r>
        <w:rPr>
          <w:i w:val="0"/>
        </w:rPr>
        <w:t xml:space="preserve">radition of the Church Slavonic Psalter up to the </w:t>
      </w:r>
      <w:r>
        <w:rPr>
          <w:i w:val="0"/>
          <w:caps/>
        </w:rPr>
        <w:t>f</w:t>
      </w:r>
      <w:r>
        <w:rPr>
          <w:i w:val="0"/>
        </w:rPr>
        <w:t xml:space="preserve">ifteenth Century’, </w:t>
      </w:r>
      <w:r>
        <w:t>Interpretation of the Bible</w:t>
      </w:r>
      <w:r>
        <w:rPr>
          <w:i w:val="0"/>
        </w:rPr>
        <w:t>, ed. J. Krašovec (Ljubljana</w:t>
      </w:r>
      <w:r w:rsidR="00EE4250">
        <w:rPr>
          <w:i w:val="0"/>
          <w:iCs/>
          <w:szCs w:val="24"/>
        </w:rPr>
        <w:t xml:space="preserve"> – </w:t>
      </w:r>
      <w:r>
        <w:rPr>
          <w:i w:val="0"/>
        </w:rPr>
        <w:t>Sheffield, 1998), 921-42.</w:t>
      </w:r>
    </w:p>
    <w:p w14:paraId="51F0495C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‘The linguistic and textual peculiarities of the Glagolitic psalter auctioned at Christie’s on 3 June 1998’, </w:t>
      </w:r>
      <w:r>
        <w:t>Palaeobulgarica</w:t>
      </w:r>
      <w:r>
        <w:rPr>
          <w:i w:val="0"/>
        </w:rPr>
        <w:t>, xxiv:2 (2000), 3-39.</w:t>
      </w:r>
    </w:p>
    <w:p w14:paraId="0A3B1D7A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</w:rPr>
        <w:t xml:space="preserve">‘The Linguistic Basis of Textual Segmentation in Serbian Church Slavonic Sources of the 14th-15th centuries’, </w:t>
      </w:r>
      <w:r>
        <w:rPr>
          <w:iCs/>
        </w:rPr>
        <w:t>Oxford University Working Papers in Linguistics, Philology and Phonetics</w:t>
      </w:r>
      <w:r>
        <w:rPr>
          <w:i w:val="0"/>
        </w:rPr>
        <w:t>, vii (Oxford, 2002), 207-24.</w:t>
      </w:r>
    </w:p>
    <w:p w14:paraId="5C621039" w14:textId="77777777" w:rsidR="007341A8" w:rsidRDefault="007341A8">
      <w:pPr>
        <w:pStyle w:val="BodyText"/>
        <w:ind w:left="0"/>
        <w:rPr>
          <w:i w:val="0"/>
        </w:rPr>
      </w:pPr>
      <w:r>
        <w:rPr>
          <w:i w:val="0"/>
          <w:iCs/>
        </w:rPr>
        <w:t xml:space="preserve">‘On the Problems of Identifying a ‘Preslav Redaction’ of the Psalter’, in: </w:t>
      </w:r>
      <w:r>
        <w:t>Acta palaeoslavica</w:t>
      </w:r>
      <w:r>
        <w:rPr>
          <w:i w:val="0"/>
          <w:iCs/>
        </w:rPr>
        <w:t xml:space="preserve">, vol. 2. </w:t>
      </w:r>
      <w:r>
        <w:t>Studia in honorem professoris Angelinae Minčeva</w:t>
      </w:r>
      <w:r>
        <w:rPr>
          <w:i w:val="0"/>
          <w:iCs/>
        </w:rPr>
        <w:t xml:space="preserve">, ed. </w:t>
      </w:r>
      <w:r>
        <w:rPr>
          <w:i w:val="0"/>
        </w:rPr>
        <w:t xml:space="preserve">M. Dimitrova, P. Petkov and I. Hristova </w:t>
      </w:r>
      <w:r>
        <w:rPr>
          <w:i w:val="0"/>
          <w:iCs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i w:val="0"/>
              <w:iCs/>
            </w:rPr>
            <w:t>Sofia</w:t>
          </w:r>
        </w:smartTag>
      </w:smartTag>
      <w:r>
        <w:rPr>
          <w:i w:val="0"/>
          <w:iCs/>
        </w:rPr>
        <w:t>: Heron Press, 2005), 39-46.</w:t>
      </w:r>
    </w:p>
    <w:p w14:paraId="39153FB6" w14:textId="77777777" w:rsidR="007341A8" w:rsidRDefault="007341A8">
      <w:pPr>
        <w:spacing w:after="120"/>
      </w:pPr>
      <w:r>
        <w:rPr>
          <w:iCs/>
        </w:rPr>
        <w:t>‘</w:t>
      </w:r>
      <w:r>
        <w:t xml:space="preserve">The compilatory Church Slavonic catena on the Psalms in three East Slavonic manuscripts of the fifteenth and sixteenth centuries’, </w:t>
      </w:r>
      <w:r>
        <w:rPr>
          <w:i/>
          <w:iCs/>
        </w:rPr>
        <w:t>Slavia</w:t>
      </w:r>
      <w:r>
        <w:t>, lxxiv:2-3 (2005) (CyrilloMethodiana 2005 ad honorem Zdeňka Ribarova et Ludmila Pacnerová), 213-38.</w:t>
      </w:r>
    </w:p>
    <w:p w14:paraId="7F39FD42" w14:textId="77777777" w:rsidR="00347E39" w:rsidRDefault="00347E39" w:rsidP="00347E39">
      <w:pPr>
        <w:spacing w:after="120"/>
        <w:rPr>
          <w:bCs/>
        </w:rPr>
      </w:pPr>
      <w:r>
        <w:rPr>
          <w:bCs/>
        </w:rPr>
        <w:lastRenderedPageBreak/>
        <w:t xml:space="preserve">‘The variable treatment of clitics in 14th-century South Slavonic psalter translations’, in: </w:t>
      </w:r>
      <w:r>
        <w:rPr>
          <w:bCs/>
          <w:i/>
          <w:iCs/>
        </w:rPr>
        <w:t>Mnogokratnite prevodi v Južnoslavjanskoto Srednovekovie. Sofija, 7-9 juli 2005</w:t>
      </w:r>
      <w:r>
        <w:rPr>
          <w:bCs/>
        </w:rPr>
        <w:t>, ed. L. Taseva, R. Marti, M. Jovčeva and T. Pentkovsk</w:t>
      </w:r>
      <w:r w:rsidR="00CA2F0D">
        <w:rPr>
          <w:bCs/>
        </w:rPr>
        <w:t>aja (Sofia, 2006</w:t>
      </w:r>
      <w:r>
        <w:rPr>
          <w:bCs/>
        </w:rPr>
        <w:t>), 373-95.</w:t>
      </w:r>
    </w:p>
    <w:p w14:paraId="6EB5CC81" w14:textId="77777777" w:rsidR="007341A8" w:rsidRDefault="007341A8" w:rsidP="00347E39">
      <w:pPr>
        <w:pStyle w:val="BodyText"/>
        <w:ind w:left="0"/>
        <w:rPr>
          <w:i w:val="0"/>
        </w:rPr>
      </w:pPr>
      <w:r>
        <w:rPr>
          <w:i w:val="0"/>
        </w:rPr>
        <w:t xml:space="preserve">‘Alphabetic suspension in Glagolitic and Cyrillic manuscripts’, </w:t>
      </w:r>
      <w:r>
        <w:rPr>
          <w:iCs/>
        </w:rPr>
        <w:t>Slovo</w:t>
      </w:r>
      <w:r w:rsidR="005B2FB3">
        <w:rPr>
          <w:i w:val="0"/>
          <w:iCs/>
        </w:rPr>
        <w:t>, lvi-lvii (2007)</w:t>
      </w:r>
      <w:r>
        <w:rPr>
          <w:iCs/>
        </w:rPr>
        <w:t xml:space="preserve"> </w:t>
      </w:r>
      <w:r>
        <w:rPr>
          <w:i w:val="0"/>
        </w:rPr>
        <w:t>(Festschrift for Dr Anica Nazor)</w:t>
      </w:r>
      <w:r w:rsidR="005B2FB3">
        <w:rPr>
          <w:i w:val="0"/>
        </w:rPr>
        <w:t>, 319-32</w:t>
      </w:r>
      <w:r>
        <w:rPr>
          <w:i w:val="0"/>
        </w:rPr>
        <w:t>.</w:t>
      </w:r>
    </w:p>
    <w:p w14:paraId="4F7350B2" w14:textId="77777777" w:rsidR="00BE68ED" w:rsidRDefault="00BE68ED" w:rsidP="00C96FF6">
      <w:pPr>
        <w:pStyle w:val="ListBullet"/>
        <w:numPr>
          <w:ilvl w:val="0"/>
          <w:numId w:val="0"/>
        </w:numPr>
        <w:spacing w:before="0" w:after="120" w:line="240" w:lineRule="auto"/>
        <w:ind w:right="0"/>
        <w:rPr>
          <w:i w:val="0"/>
        </w:rPr>
      </w:pPr>
      <w:r>
        <w:rPr>
          <w:i w:val="0"/>
        </w:rPr>
        <w:t>‘O</w:t>
      </w:r>
      <w:r w:rsidRPr="00BE68ED">
        <w:rPr>
          <w:i w:val="0"/>
        </w:rPr>
        <w:t>n the role of memory and oral tradition in the e</w:t>
      </w:r>
      <w:r>
        <w:rPr>
          <w:i w:val="0"/>
        </w:rPr>
        <w:t>arly transmission of the Church Sla</w:t>
      </w:r>
      <w:r w:rsidRPr="00BE68ED">
        <w:rPr>
          <w:i w:val="0"/>
        </w:rPr>
        <w:t xml:space="preserve">vonic psalter </w:t>
      </w:r>
      <w:r>
        <w:rPr>
          <w:i w:val="0"/>
        </w:rPr>
        <w:t>te</w:t>
      </w:r>
      <w:r w:rsidRPr="00BE68ED">
        <w:rPr>
          <w:i w:val="0"/>
        </w:rPr>
        <w:t>xt</w:t>
      </w:r>
      <w:r w:rsidR="007B57E5">
        <w:rPr>
          <w:i w:val="0"/>
        </w:rPr>
        <w:t xml:space="preserve">’, </w:t>
      </w:r>
      <w:r>
        <w:rPr>
          <w:i w:val="0"/>
        </w:rPr>
        <w:t>in</w:t>
      </w:r>
      <w:r w:rsidR="007B57E5">
        <w:rPr>
          <w:i w:val="0"/>
        </w:rPr>
        <w:t xml:space="preserve">: </w:t>
      </w:r>
      <w:r w:rsidR="007B57E5">
        <w:t>Xristijanska agiologija i narodni vjarvanija. Sbornik v čest na st. n. s. Elena Koceva</w:t>
      </w:r>
      <w:r w:rsidR="00262636">
        <w:rPr>
          <w:i w:val="0"/>
        </w:rPr>
        <w:t>, ed. A. Miltenova, E. Tomova, R. Stankova</w:t>
      </w:r>
      <w:r w:rsidR="007B57E5">
        <w:rPr>
          <w:i w:val="0"/>
        </w:rPr>
        <w:t xml:space="preserve"> (</w:t>
      </w:r>
      <w:r w:rsidR="002A4D3F">
        <w:rPr>
          <w:i w:val="0"/>
        </w:rPr>
        <w:t>Sofia: Iztok-zapad,</w:t>
      </w:r>
      <w:r w:rsidR="007B57E5">
        <w:rPr>
          <w:i w:val="0"/>
        </w:rPr>
        <w:t xml:space="preserve"> 2008)</w:t>
      </w:r>
      <w:r w:rsidR="00C867CD">
        <w:rPr>
          <w:i w:val="0"/>
        </w:rPr>
        <w:t xml:space="preserve">, </w:t>
      </w:r>
      <w:r w:rsidR="00C4664F">
        <w:rPr>
          <w:i w:val="0"/>
        </w:rPr>
        <w:t>340-55</w:t>
      </w:r>
      <w:r>
        <w:rPr>
          <w:i w:val="0"/>
        </w:rPr>
        <w:t>.</w:t>
      </w:r>
    </w:p>
    <w:p w14:paraId="15EBA2CB" w14:textId="77777777" w:rsidR="00E4524C" w:rsidRPr="00E4524C" w:rsidRDefault="00E4524C" w:rsidP="00E4524C">
      <w:pPr>
        <w:spacing w:after="120"/>
        <w:rPr>
          <w:rFonts w:eastAsia="Arial Unicode MS"/>
          <w:bCs/>
        </w:rPr>
      </w:pPr>
      <w:r>
        <w:rPr>
          <w:rFonts w:eastAsia="Arial Unicode MS"/>
          <w:bCs/>
        </w:rPr>
        <w:t>‘</w:t>
      </w:r>
      <w:r w:rsidRPr="00E4524C">
        <w:rPr>
          <w:rFonts w:eastAsia="Arial Unicode MS"/>
          <w:bCs/>
        </w:rPr>
        <w:t>A Hymnographical Curiosity:</w:t>
      </w:r>
      <w:r>
        <w:rPr>
          <w:rFonts w:eastAsia="Arial Unicode MS"/>
          <w:bCs/>
        </w:rPr>
        <w:t xml:space="preserve"> </w:t>
      </w:r>
      <w:r w:rsidRPr="00E4524C">
        <w:rPr>
          <w:rFonts w:eastAsia="Arial Unicode MS"/>
          <w:bCs/>
        </w:rPr>
        <w:t>Troparia Composed for the Psalter</w:t>
      </w:r>
      <w:r>
        <w:rPr>
          <w:rFonts w:eastAsia="Arial Unicode MS"/>
          <w:bCs/>
        </w:rPr>
        <w:t>’, i</w:t>
      </w:r>
      <w:r w:rsidRPr="00E4524C">
        <w:rPr>
          <w:rFonts w:eastAsia="Arial Unicode MS"/>
          <w:bCs/>
        </w:rPr>
        <w:t xml:space="preserve">n: </w:t>
      </w:r>
      <w:r w:rsidRPr="00E4524C">
        <w:rPr>
          <w:rFonts w:eastAsia="Arial Unicode MS"/>
          <w:bCs/>
          <w:i/>
        </w:rPr>
        <w:t>Bibel, Liturgie und Frömmigkeit in der Slavia Byzantina. Festgabe für Hans Rothe zum 80. Geburtstag</w:t>
      </w:r>
      <w:r w:rsidRPr="00E4524C">
        <w:rPr>
          <w:rFonts w:eastAsia="Arial Unicode MS"/>
          <w:bCs/>
        </w:rPr>
        <w:t>,</w:t>
      </w:r>
      <w:r>
        <w:rPr>
          <w:rFonts w:eastAsia="Arial Unicode MS"/>
          <w:bCs/>
        </w:rPr>
        <w:t xml:space="preserve"> ed. D.  Christians, D.</w:t>
      </w:r>
      <w:r w:rsidRPr="00E4524C">
        <w:rPr>
          <w:rFonts w:eastAsia="Arial Unicode MS"/>
          <w:bCs/>
        </w:rPr>
        <w:t xml:space="preserve"> Ster</w:t>
      </w:r>
      <w:r>
        <w:rPr>
          <w:rFonts w:eastAsia="Arial Unicode MS"/>
          <w:bCs/>
        </w:rPr>
        <w:t>n, V.</w:t>
      </w:r>
      <w:r w:rsidRPr="00E4524C">
        <w:rPr>
          <w:rFonts w:eastAsia="Arial Unicode MS"/>
          <w:bCs/>
        </w:rPr>
        <w:t xml:space="preserve"> S. Tomelleri</w:t>
      </w:r>
      <w:r>
        <w:rPr>
          <w:rFonts w:eastAsia="Arial Unicode MS"/>
          <w:bCs/>
        </w:rPr>
        <w:t xml:space="preserve"> </w:t>
      </w:r>
      <w:r w:rsidRPr="00E4524C">
        <w:rPr>
          <w:rFonts w:eastAsia="Arial Unicode MS"/>
          <w:bCs/>
        </w:rPr>
        <w:t>(= Studies on Language and Culture in Cent</w:t>
      </w:r>
      <w:r>
        <w:rPr>
          <w:rFonts w:eastAsia="Arial Unicode MS"/>
          <w:bCs/>
        </w:rPr>
        <w:t xml:space="preserve">ral and Eastern Europe – SLCCEE, ed. C. Voss, Bd. 3) (Munich – Berlin: </w:t>
      </w:r>
      <w:r w:rsidRPr="00E4524C">
        <w:rPr>
          <w:rFonts w:eastAsia="Arial Unicode MS"/>
          <w:bCs/>
        </w:rPr>
        <w:t>Verlag Otto</w:t>
      </w:r>
      <w:r>
        <w:rPr>
          <w:rFonts w:eastAsia="Arial Unicode MS"/>
          <w:bCs/>
        </w:rPr>
        <w:t xml:space="preserve"> Sagner, 2009), </w:t>
      </w:r>
      <w:r w:rsidRPr="00E4524C">
        <w:rPr>
          <w:rFonts w:eastAsia="Arial Unicode MS"/>
          <w:bCs/>
        </w:rPr>
        <w:t>243-266.</w:t>
      </w:r>
    </w:p>
    <w:p w14:paraId="0BD10F54" w14:textId="77777777" w:rsidR="00C96FF6" w:rsidRDefault="00C96FF6" w:rsidP="00053CD9">
      <w:pPr>
        <w:spacing w:after="120"/>
      </w:pPr>
      <w:r>
        <w:t>‘</w:t>
      </w:r>
      <w:r w:rsidRPr="00C838F0">
        <w:t xml:space="preserve">The impact of interpretation on the evolution of the Church Slavonic psalter text </w:t>
      </w:r>
      <w:r>
        <w:t xml:space="preserve">up to the </w:t>
      </w:r>
      <w:r w:rsidR="00F6643C">
        <w:t xml:space="preserve">fifteenth century’, </w:t>
      </w:r>
      <w:r>
        <w:t>in</w:t>
      </w:r>
      <w:r w:rsidR="00F6643C">
        <w:t xml:space="preserve">: </w:t>
      </w:r>
      <w:r w:rsidR="00F6643C">
        <w:rPr>
          <w:i/>
        </w:rPr>
        <w:t>Congress Volume Ljubljana 2007</w:t>
      </w:r>
      <w:r w:rsidR="00F6643C">
        <w:t xml:space="preserve">, ed. A. Lemaire (= Supplements to </w:t>
      </w:r>
      <w:r w:rsidR="00F6643C">
        <w:rPr>
          <w:i/>
        </w:rPr>
        <w:t xml:space="preserve">Vetus </w:t>
      </w:r>
      <w:r>
        <w:rPr>
          <w:i/>
        </w:rPr>
        <w:t>Testamentum</w:t>
      </w:r>
      <w:r w:rsidR="00F6643C">
        <w:t>, vol. 133) (Leiden – Boston: Brill, 2010), 423-440.</w:t>
      </w:r>
    </w:p>
    <w:p w14:paraId="6E45CB3A" w14:textId="77777777" w:rsidR="001A2CFF" w:rsidRDefault="001A2CFF" w:rsidP="001A2CFF">
      <w:pPr>
        <w:spacing w:after="120"/>
      </w:pPr>
      <w:r>
        <w:t>‘ “</w:t>
      </w:r>
      <w:r w:rsidRPr="00D32F38">
        <w:t>Remember me in your prayers</w:t>
      </w:r>
      <w:r>
        <w:t xml:space="preserve">”: </w:t>
      </w:r>
      <w:r w:rsidRPr="00D32F38">
        <w:t>Reading the Churc</w:t>
      </w:r>
      <w:r w:rsidR="00053CD9">
        <w:t xml:space="preserve">h Slavonic Psalter as an act of </w:t>
      </w:r>
      <w:r w:rsidRPr="00D32F38">
        <w:t>commemoration</w:t>
      </w:r>
      <w:r>
        <w:t>’,</w:t>
      </w:r>
      <w:r w:rsidR="00C1499F">
        <w:t xml:space="preserve"> in: </w:t>
      </w:r>
      <w:r w:rsidR="00C1499F">
        <w:rPr>
          <w:i/>
        </w:rPr>
        <w:t>Aspects of the Performative in Medieval Culture</w:t>
      </w:r>
      <w:r w:rsidR="00C1499F">
        <w:t>, ed. M. Gragnolati, A. Suerbaum (= Trends in Medieval Philology, ed. I</w:t>
      </w:r>
      <w:r w:rsidR="004F56D2">
        <w:t>.</w:t>
      </w:r>
      <w:r w:rsidR="00C1499F">
        <w:t xml:space="preserve"> Kasten, N. Largier, M. Schnyder, vol. 18) (Berlin – New York: De Gruyter, 2010), 39-59</w:t>
      </w:r>
      <w:r>
        <w:t>.</w:t>
      </w:r>
    </w:p>
    <w:p w14:paraId="06925561" w14:textId="77777777" w:rsidR="0060478C" w:rsidRDefault="005A79FC" w:rsidP="0060478C">
      <w:pPr>
        <w:pStyle w:val="BodyText"/>
        <w:ind w:left="0"/>
        <w:rPr>
          <w:rFonts w:eastAsia="Arial Unicode MS"/>
          <w:bCs/>
          <w:i w:val="0"/>
        </w:rPr>
      </w:pPr>
      <w:r>
        <w:rPr>
          <w:rFonts w:eastAsia="Arial Unicode MS"/>
          <w:bCs/>
          <w:i w:val="0"/>
        </w:rPr>
        <w:t xml:space="preserve">‘The textual peculiarities of the Luck Psalter of 1384 (Acquisti e Doni MS 360, Biblioteca Medicea Laurenziana, Florence)’, </w:t>
      </w:r>
      <w:r>
        <w:rPr>
          <w:rFonts w:eastAsia="Arial Unicode MS"/>
          <w:bCs/>
        </w:rPr>
        <w:t>Ricerche Slavistiche</w:t>
      </w:r>
      <w:r>
        <w:rPr>
          <w:rFonts w:eastAsia="Arial Unicode MS"/>
          <w:bCs/>
          <w:i w:val="0"/>
        </w:rPr>
        <w:t>, New Series</w:t>
      </w:r>
      <w:r>
        <w:rPr>
          <w:rFonts w:eastAsia="Arial Unicode MS"/>
          <w:bCs/>
        </w:rPr>
        <w:t xml:space="preserve"> </w:t>
      </w:r>
      <w:r w:rsidRPr="00EC36F7">
        <w:rPr>
          <w:rFonts w:eastAsia="Arial Unicode MS"/>
          <w:bCs/>
          <w:i w:val="0"/>
        </w:rPr>
        <w:t>viii (liv)</w:t>
      </w:r>
      <w:r>
        <w:rPr>
          <w:rFonts w:eastAsia="Arial Unicode MS"/>
          <w:bCs/>
          <w:i w:val="0"/>
        </w:rPr>
        <w:t xml:space="preserve"> (2010), 101-25</w:t>
      </w:r>
      <w:r w:rsidR="00E91C30">
        <w:rPr>
          <w:rFonts w:eastAsia="Arial Unicode MS"/>
          <w:bCs/>
          <w:i w:val="0"/>
        </w:rPr>
        <w:t>; Russian</w:t>
      </w:r>
      <w:r w:rsidR="002451A9">
        <w:rPr>
          <w:rFonts w:eastAsia="Arial Unicode MS"/>
          <w:bCs/>
          <w:i w:val="0"/>
        </w:rPr>
        <w:t xml:space="preserve"> translation in a</w:t>
      </w:r>
      <w:r w:rsidR="0015656D">
        <w:rPr>
          <w:rFonts w:eastAsia="Arial Unicode MS"/>
          <w:bCs/>
          <w:i w:val="0"/>
        </w:rPr>
        <w:t xml:space="preserve"> facsimile</w:t>
      </w:r>
      <w:r w:rsidR="002451A9">
        <w:rPr>
          <w:rFonts w:eastAsia="Arial Unicode MS"/>
          <w:bCs/>
          <w:i w:val="0"/>
        </w:rPr>
        <w:t xml:space="preserve"> edition of the MS</w:t>
      </w:r>
      <w:r w:rsidR="0015656D">
        <w:rPr>
          <w:rFonts w:eastAsia="Arial Unicode MS"/>
          <w:bCs/>
          <w:i w:val="0"/>
        </w:rPr>
        <w:t xml:space="preserve"> published by Gurevich</w:t>
      </w:r>
      <w:r>
        <w:rPr>
          <w:rFonts w:eastAsia="Arial Unicode MS"/>
          <w:bCs/>
          <w:i w:val="0"/>
        </w:rPr>
        <w:t>.</w:t>
      </w:r>
    </w:p>
    <w:p w14:paraId="36E20D88" w14:textId="77777777" w:rsidR="00951D7A" w:rsidRDefault="00E25313" w:rsidP="00551C8C">
      <w:pPr>
        <w:pStyle w:val="BodyText"/>
        <w:ind w:left="0"/>
        <w:rPr>
          <w:rFonts w:eastAsia="Arial Unicode MS"/>
          <w:bCs/>
          <w:i w:val="0"/>
        </w:rPr>
      </w:pPr>
      <w:r>
        <w:rPr>
          <w:i w:val="0"/>
          <w:lang w:val="en-GB"/>
        </w:rPr>
        <w:t>‘</w:t>
      </w:r>
      <w:r w:rsidRPr="00DE4B13">
        <w:rPr>
          <w:i w:val="0"/>
          <w:lang w:val="en-GB"/>
        </w:rPr>
        <w:t>Slavonic Manuscripts at Sinai</w:t>
      </w:r>
      <w:r>
        <w:rPr>
          <w:i w:val="0"/>
          <w:lang w:val="en-GB"/>
        </w:rPr>
        <w:t xml:space="preserve">’, in: </w:t>
      </w:r>
      <w:r>
        <w:rPr>
          <w:iCs/>
          <w:color w:val="000000"/>
        </w:rPr>
        <w:t>St Catherine’s Monastery at Mount Sinai: Its Manuscripts and their Conservation. P</w:t>
      </w:r>
      <w:r w:rsidRPr="00AA2333">
        <w:rPr>
          <w:iCs/>
          <w:color w:val="000000"/>
        </w:rPr>
        <w:t xml:space="preserve">apers </w:t>
      </w:r>
      <w:r>
        <w:rPr>
          <w:iCs/>
          <w:color w:val="000000"/>
        </w:rPr>
        <w:t>given in m</w:t>
      </w:r>
      <w:r w:rsidRPr="00AA2333">
        <w:rPr>
          <w:iCs/>
          <w:color w:val="000000"/>
        </w:rPr>
        <w:t xml:space="preserve">emory of Ihor </w:t>
      </w:r>
      <w:r>
        <w:rPr>
          <w:iCs/>
          <w:color w:val="000000"/>
        </w:rPr>
        <w:t>Š</w:t>
      </w:r>
      <w:r w:rsidRPr="00AA2333">
        <w:rPr>
          <w:iCs/>
          <w:color w:val="000000"/>
        </w:rPr>
        <w:t>ev</w:t>
      </w:r>
      <w:r>
        <w:rPr>
          <w:iCs/>
          <w:color w:val="000000"/>
        </w:rPr>
        <w:t>č</w:t>
      </w:r>
      <w:r w:rsidRPr="00AA2333">
        <w:rPr>
          <w:iCs/>
          <w:color w:val="000000"/>
        </w:rPr>
        <w:t>enko</w:t>
      </w:r>
      <w:r>
        <w:rPr>
          <w:i w:val="0"/>
          <w:color w:val="000000"/>
        </w:rPr>
        <w:t>, ed. C. and M. Mango (Saint Catherine Foundation, 2011), 61-8;</w:t>
      </w:r>
    </w:p>
    <w:p w14:paraId="192DE317" w14:textId="77777777" w:rsidR="00551C8C" w:rsidRPr="002A4D3F" w:rsidRDefault="00551C8C" w:rsidP="00551C8C">
      <w:pPr>
        <w:pStyle w:val="BodyText"/>
        <w:ind w:left="0"/>
        <w:rPr>
          <w:rFonts w:eastAsia="Arial Unicode MS"/>
          <w:bCs/>
          <w:i w:val="0"/>
        </w:rPr>
      </w:pPr>
      <w:r>
        <w:rPr>
          <w:i w:val="0"/>
        </w:rPr>
        <w:t>‘On U</w:t>
      </w:r>
      <w:r w:rsidRPr="002A4D3F">
        <w:rPr>
          <w:i w:val="0"/>
        </w:rPr>
        <w:t xml:space="preserve">sing P. A. Gil’tebrandt’s </w:t>
      </w:r>
      <w:r w:rsidRPr="002A4D3F">
        <w:t xml:space="preserve">Spravočnyj i </w:t>
      </w:r>
      <w:r>
        <w:t>O</w:t>
      </w:r>
      <w:r w:rsidRPr="002A4D3F">
        <w:t xml:space="preserve">b”jasnitel’nyj </w:t>
      </w:r>
      <w:r>
        <w:t>S</w:t>
      </w:r>
      <w:r w:rsidRPr="002A4D3F">
        <w:t>lovar’ k</w:t>
      </w:r>
      <w:r>
        <w:t xml:space="preserve"> P</w:t>
      </w:r>
      <w:r w:rsidRPr="002A4D3F">
        <w:t>saltiri</w:t>
      </w:r>
      <w:r>
        <w:t>’</w:t>
      </w:r>
      <w:r>
        <w:rPr>
          <w:i w:val="0"/>
        </w:rPr>
        <w:t xml:space="preserve">, in: </w:t>
      </w:r>
      <w:r w:rsidRPr="00551C8C">
        <w:t>Schnittpunkt Slavistik. Ost und West im wissenschaftlichen Dialo</w:t>
      </w:r>
      <w:r>
        <w:t>g.</w:t>
      </w:r>
      <w:r w:rsidRPr="00551C8C">
        <w:t xml:space="preserve"> Festgabe für Helmut Keipert zum 70. Geburtstag</w:t>
      </w:r>
      <w:r>
        <w:rPr>
          <w:i w:val="0"/>
        </w:rPr>
        <w:t xml:space="preserve">. Teil 1: </w:t>
      </w:r>
      <w:r w:rsidRPr="00551C8C">
        <w:t>Slavistik im Dialog – einst und jetzt</w:t>
      </w:r>
      <w:r>
        <w:rPr>
          <w:i w:val="0"/>
        </w:rPr>
        <w:t>, ed. I. Podtergera (Bonn: V&amp;R unipress, Bonn University Press, 2012), 473-482.</w:t>
      </w:r>
    </w:p>
    <w:p w14:paraId="106DA42D" w14:textId="77777777" w:rsidR="00584BAE" w:rsidRPr="0014181A" w:rsidRDefault="00584BAE" w:rsidP="00426A76">
      <w:pPr>
        <w:pStyle w:val="NormalWeb"/>
        <w:spacing w:after="120"/>
      </w:pPr>
      <w:r w:rsidRPr="006C1397">
        <w:t xml:space="preserve">‘How well did Hval know the Psalter?’, </w:t>
      </w:r>
      <w:r w:rsidR="00426A76">
        <w:rPr>
          <w:i/>
        </w:rPr>
        <w:t>Bosanskohercegovački slavistički kongres. Zbornik radova (knjiga 1. Lingvistika)</w:t>
      </w:r>
      <w:r w:rsidR="00426A76">
        <w:t xml:space="preserve"> (Sarajevo: Slav</w:t>
      </w:r>
      <w:r w:rsidR="00CE1BE6">
        <w:t xml:space="preserve">istički komitet, 2012), 109-117. </w:t>
      </w:r>
    </w:p>
    <w:p w14:paraId="59401C60" w14:textId="77777777" w:rsidR="003144A4" w:rsidRPr="003144A4" w:rsidRDefault="00866CEE" w:rsidP="00584BAE">
      <w:pPr>
        <w:pStyle w:val="BodyText"/>
        <w:tabs>
          <w:tab w:val="left" w:pos="0"/>
        </w:tabs>
        <w:ind w:left="0"/>
        <w:rPr>
          <w:i w:val="0"/>
        </w:rPr>
      </w:pPr>
      <w:r>
        <w:rPr>
          <w:iCs/>
        </w:rPr>
        <w:t xml:space="preserve">Bosanski Psaltir iz </w:t>
      </w:r>
      <w:r w:rsidR="003144A4">
        <w:rPr>
          <w:iCs/>
        </w:rPr>
        <w:t>zbornika Hvala Krstjanina</w:t>
      </w:r>
      <w:r w:rsidR="003144A4">
        <w:rPr>
          <w:i w:val="0"/>
          <w:iCs/>
        </w:rPr>
        <w:t xml:space="preserve">, ed. Lejla Nakaš (Forum Bosnae, 60/12) (Sarajevo: </w:t>
      </w:r>
      <w:r w:rsidR="00AB6B08">
        <w:rPr>
          <w:i w:val="0"/>
          <w:iCs/>
        </w:rPr>
        <w:t>Međunarodni Forum Bosna</w:t>
      </w:r>
      <w:r w:rsidR="003144A4">
        <w:rPr>
          <w:i w:val="0"/>
          <w:iCs/>
        </w:rPr>
        <w:t>, 2013), afterword, 263-82.</w:t>
      </w:r>
    </w:p>
    <w:p w14:paraId="0B8D7A67" w14:textId="77777777" w:rsidR="00D056CE" w:rsidRPr="005C3F87" w:rsidRDefault="00D056CE" w:rsidP="00D056CE">
      <w:pPr>
        <w:spacing w:after="120"/>
      </w:pPr>
      <w:r w:rsidRPr="005C3F87">
        <w:t xml:space="preserve">‘The </w:t>
      </w:r>
      <w:r w:rsidR="0063000F">
        <w:t xml:space="preserve">Novgorod Antiphonal Psalters: their </w:t>
      </w:r>
      <w:r w:rsidRPr="005C3F87">
        <w:t xml:space="preserve">linguistic peculiarities and textological </w:t>
      </w:r>
      <w:r w:rsidR="0063000F">
        <w:t>significance</w:t>
      </w:r>
      <w:r w:rsidRPr="005C3F87">
        <w:t xml:space="preserve">’, </w:t>
      </w:r>
      <w:r w:rsidRPr="005C3F87">
        <w:rPr>
          <w:i/>
        </w:rPr>
        <w:t>Slověne</w:t>
      </w:r>
      <w:r w:rsidRPr="005C3F87">
        <w:t>,</w:t>
      </w:r>
      <w:r>
        <w:t xml:space="preserve"> ii:2 (</w:t>
      </w:r>
      <w:r w:rsidRPr="005C3F87">
        <w:t>2013</w:t>
      </w:r>
      <w:r>
        <w:t>), 31-51</w:t>
      </w:r>
      <w:r w:rsidRPr="005C3F87">
        <w:t xml:space="preserve">. </w:t>
      </w:r>
    </w:p>
    <w:p w14:paraId="4D9D67A2" w14:textId="77777777" w:rsidR="00D056CE" w:rsidRPr="00D056CE" w:rsidRDefault="00D056CE" w:rsidP="00D056CE">
      <w:pPr>
        <w:pStyle w:val="BodyText"/>
        <w:tabs>
          <w:tab w:val="left" w:pos="0"/>
        </w:tabs>
        <w:ind w:left="0"/>
        <w:rPr>
          <w:i w:val="0"/>
        </w:rPr>
      </w:pPr>
      <w:r w:rsidRPr="00D056CE">
        <w:rPr>
          <w:i w:val="0"/>
        </w:rPr>
        <w:t>‘The competing use of perfect and aorist tense in Old Church S</w:t>
      </w:r>
      <w:r>
        <w:rPr>
          <w:i w:val="0"/>
        </w:rPr>
        <w:t>lavonic’,</w:t>
      </w:r>
      <w:r w:rsidRPr="00D056CE">
        <w:rPr>
          <w:i w:val="0"/>
        </w:rPr>
        <w:t xml:space="preserve"> </w:t>
      </w:r>
      <w:r w:rsidRPr="00D056CE">
        <w:t>Slavia</w:t>
      </w:r>
      <w:r w:rsidRPr="00D056CE">
        <w:rPr>
          <w:i w:val="0"/>
        </w:rPr>
        <w:t xml:space="preserve">, lxxxii:4 (2013), </w:t>
      </w:r>
      <w:r>
        <w:rPr>
          <w:i w:val="0"/>
        </w:rPr>
        <w:t>387-407</w:t>
      </w:r>
      <w:r w:rsidRPr="00D056CE">
        <w:rPr>
          <w:i w:val="0"/>
        </w:rPr>
        <w:t>.</w:t>
      </w:r>
    </w:p>
    <w:p w14:paraId="2A9D7DC1" w14:textId="770925E0" w:rsidR="007950FD" w:rsidRPr="007950FD" w:rsidRDefault="007228A8" w:rsidP="002451A9">
      <w:pPr>
        <w:pStyle w:val="BodyText"/>
        <w:tabs>
          <w:tab w:val="left" w:pos="0"/>
        </w:tabs>
        <w:ind w:left="0"/>
        <w:rPr>
          <w:i w:val="0"/>
          <w:szCs w:val="24"/>
        </w:rPr>
      </w:pPr>
      <w:r>
        <w:rPr>
          <w:i w:val="0"/>
          <w:iCs/>
          <w:szCs w:val="24"/>
          <w:lang w:val="en-GB"/>
        </w:rPr>
        <w:t>‘</w:t>
      </w:r>
      <w:r w:rsidR="0004462D" w:rsidRPr="007228A8">
        <w:rPr>
          <w:i w:val="0"/>
          <w:iCs/>
          <w:szCs w:val="24"/>
        </w:rPr>
        <w:t>The problem of the negated im</w:t>
      </w:r>
      <w:r>
        <w:rPr>
          <w:i w:val="0"/>
          <w:iCs/>
          <w:szCs w:val="24"/>
        </w:rPr>
        <w:t>perative in Old Church Slavonic’</w:t>
      </w:r>
      <w:r w:rsidR="0004462D" w:rsidRPr="007228A8">
        <w:rPr>
          <w:i w:val="0"/>
          <w:iCs/>
          <w:szCs w:val="24"/>
        </w:rPr>
        <w:t xml:space="preserve">, in: </w:t>
      </w:r>
      <w:r w:rsidR="0004462D" w:rsidRPr="007228A8">
        <w:rPr>
          <w:iCs/>
          <w:szCs w:val="24"/>
        </w:rPr>
        <w:t>Miklosichiana Bicentennalia. Zbornik u čast dvestote godišnjice</w:t>
      </w:r>
      <w:r w:rsidR="0004462D" w:rsidRPr="0004462D">
        <w:rPr>
          <w:iCs/>
          <w:szCs w:val="24"/>
        </w:rPr>
        <w:t xml:space="preserve"> rođenja Franca Miklošiča, </w:t>
      </w:r>
      <w:r w:rsidR="0004462D" w:rsidRPr="0004462D">
        <w:rPr>
          <w:i w:val="0"/>
          <w:iCs/>
          <w:szCs w:val="24"/>
        </w:rPr>
        <w:t>ed. J. Grković-Mejd</w:t>
      </w:r>
      <w:r w:rsidR="0004462D" w:rsidRPr="0004462D">
        <w:rPr>
          <w:iCs/>
          <w:szCs w:val="24"/>
        </w:rPr>
        <w:t>ž</w:t>
      </w:r>
      <w:r w:rsidR="0004462D" w:rsidRPr="0004462D">
        <w:rPr>
          <w:i w:val="0"/>
          <w:iCs/>
          <w:szCs w:val="24"/>
        </w:rPr>
        <w:t>or, A. Loma (Belgrade: SANU, 2013), 277-91.</w:t>
      </w:r>
    </w:p>
    <w:p w14:paraId="76EE2F06" w14:textId="77777777" w:rsidR="00924E06" w:rsidRPr="0076284A" w:rsidRDefault="00924E06" w:rsidP="00924E06">
      <w:pPr>
        <w:spacing w:after="120"/>
        <w:rPr>
          <w:rFonts w:eastAsia="SimSun"/>
          <w:szCs w:val="24"/>
          <w:lang w:val="en-GB" w:eastAsia="zh-CN"/>
        </w:rPr>
      </w:pPr>
      <w:r w:rsidRPr="0076284A">
        <w:t xml:space="preserve">‘On </w:t>
      </w:r>
      <w:r>
        <w:t xml:space="preserve">the </w:t>
      </w:r>
      <w:r w:rsidRPr="0076284A">
        <w:t>headings and marginal notes in the two Glagolitic psalter manuscripts in S. Catherine’s Monastery on Mount Sinai’, in:</w:t>
      </w:r>
      <w:r>
        <w:rPr>
          <w:i/>
        </w:rPr>
        <w:t xml:space="preserve"> </w:t>
      </w:r>
      <w:r w:rsidRPr="0076284A">
        <w:rPr>
          <w:rFonts w:eastAsia="SimSun"/>
          <w:i/>
          <w:iCs/>
          <w:szCs w:val="24"/>
          <w:lang w:val="en-GB" w:eastAsia="zh-CN"/>
        </w:rPr>
        <w:t>Philology Broad and Deep: In Memoriam Horace Gray Lunt</w:t>
      </w:r>
      <w:r>
        <w:rPr>
          <w:rFonts w:eastAsia="SimSun"/>
          <w:iCs/>
          <w:szCs w:val="24"/>
          <w:lang w:val="en-GB" w:eastAsia="zh-CN"/>
        </w:rPr>
        <w:t xml:space="preserve">, ed. </w:t>
      </w:r>
      <w:r w:rsidRPr="0076284A">
        <w:rPr>
          <w:rFonts w:eastAsia="SimSun"/>
          <w:szCs w:val="24"/>
          <w:lang w:val="en-GB" w:eastAsia="zh-CN"/>
        </w:rPr>
        <w:t>Mich</w:t>
      </w:r>
      <w:r>
        <w:rPr>
          <w:rFonts w:eastAsia="SimSun"/>
          <w:szCs w:val="24"/>
          <w:lang w:val="en-GB" w:eastAsia="zh-CN"/>
        </w:rPr>
        <w:t>ael S. Flier, David J. Birnbaum</w:t>
      </w:r>
      <w:r w:rsidRPr="0076284A">
        <w:rPr>
          <w:rFonts w:eastAsia="SimSun"/>
          <w:szCs w:val="24"/>
          <w:lang w:val="en-GB" w:eastAsia="zh-CN"/>
        </w:rPr>
        <w:t xml:space="preserve"> and Cynthia M. Vakareliyska </w:t>
      </w:r>
      <w:r>
        <w:rPr>
          <w:rFonts w:eastAsia="SimSun"/>
          <w:szCs w:val="24"/>
          <w:lang w:val="en-GB" w:eastAsia="zh-CN"/>
        </w:rPr>
        <w:t>(</w:t>
      </w:r>
      <w:r w:rsidRPr="0076284A">
        <w:rPr>
          <w:rFonts w:eastAsia="SimSun"/>
          <w:szCs w:val="24"/>
          <w:lang w:val="en-GB" w:eastAsia="zh-CN"/>
        </w:rPr>
        <w:t>Bloomington, IN: Slavica</w:t>
      </w:r>
      <w:r>
        <w:rPr>
          <w:rFonts w:eastAsia="SimSun"/>
          <w:szCs w:val="24"/>
          <w:lang w:val="en-GB" w:eastAsia="zh-CN"/>
        </w:rPr>
        <w:t>,</w:t>
      </w:r>
      <w:r w:rsidRPr="0076284A">
        <w:rPr>
          <w:rFonts w:eastAsia="SimSun"/>
          <w:szCs w:val="24"/>
          <w:lang w:val="en-GB" w:eastAsia="zh-CN"/>
        </w:rPr>
        <w:t xml:space="preserve"> 201</w:t>
      </w:r>
      <w:r>
        <w:rPr>
          <w:rFonts w:eastAsia="SimSun"/>
          <w:szCs w:val="24"/>
          <w:lang w:val="en-GB" w:eastAsia="zh-CN"/>
        </w:rPr>
        <w:t>4), 175-85.</w:t>
      </w:r>
    </w:p>
    <w:p w14:paraId="2A8EF82F" w14:textId="77777777" w:rsidR="007950FD" w:rsidRPr="007950FD" w:rsidRDefault="007950FD" w:rsidP="00924E06">
      <w:pPr>
        <w:pStyle w:val="BodyText"/>
        <w:tabs>
          <w:tab w:val="left" w:pos="0"/>
        </w:tabs>
        <w:ind w:left="0"/>
        <w:rPr>
          <w:i w:val="0"/>
        </w:rPr>
      </w:pPr>
      <w:r w:rsidRPr="007950FD">
        <w:rPr>
          <w:i w:val="0"/>
        </w:rPr>
        <w:lastRenderedPageBreak/>
        <w:t>‘</w:t>
      </w:r>
      <w:r>
        <w:rPr>
          <w:i w:val="0"/>
        </w:rPr>
        <w:t>Maximos the Greek: Imprisoned in P</w:t>
      </w:r>
      <w:r w:rsidRPr="007950FD">
        <w:rPr>
          <w:i w:val="0"/>
        </w:rPr>
        <w:t>olemic’</w:t>
      </w:r>
      <w:r>
        <w:rPr>
          <w:i w:val="0"/>
        </w:rPr>
        <w:t xml:space="preserve">, in: </w:t>
      </w:r>
      <w:r w:rsidRPr="007950FD">
        <w:t>Polemic. Language as Violence in Medieval and Early Modern Discourse</w:t>
      </w:r>
      <w:r>
        <w:rPr>
          <w:i w:val="0"/>
        </w:rPr>
        <w:t>,</w:t>
      </w:r>
      <w:r w:rsidR="009F061E">
        <w:rPr>
          <w:i w:val="0"/>
        </w:rPr>
        <w:t xml:space="preserve"> ed. A. Suerbaum, G. Southcombe and</w:t>
      </w:r>
      <w:r>
        <w:rPr>
          <w:i w:val="0"/>
        </w:rPr>
        <w:t xml:space="preserve"> B. T</w:t>
      </w:r>
      <w:r w:rsidR="002B6960">
        <w:rPr>
          <w:i w:val="0"/>
        </w:rPr>
        <w:t>hompson (Ashgate, 2015), 165-80</w:t>
      </w:r>
      <w:r>
        <w:rPr>
          <w:i w:val="0"/>
        </w:rPr>
        <w:t>.</w:t>
      </w:r>
    </w:p>
    <w:p w14:paraId="49D3F86B" w14:textId="77777777" w:rsidR="00023183" w:rsidRDefault="00023183" w:rsidP="00023183">
      <w:pPr>
        <w:pStyle w:val="BodyText"/>
        <w:tabs>
          <w:tab w:val="left" w:pos="0"/>
        </w:tabs>
        <w:ind w:left="0"/>
        <w:rPr>
          <w:i w:val="0"/>
          <w:szCs w:val="24"/>
        </w:rPr>
      </w:pPr>
      <w:r>
        <w:rPr>
          <w:i w:val="0"/>
        </w:rPr>
        <w:t>‘</w:t>
      </w:r>
      <w:r w:rsidRPr="00624E88">
        <w:rPr>
          <w:i w:val="0"/>
        </w:rPr>
        <w:t>The place of Dim</w:t>
      </w:r>
      <w:r>
        <w:rPr>
          <w:i w:val="0"/>
        </w:rPr>
        <w:t>itri’s Psalter (MS Sinai Slav 3</w:t>
      </w:r>
      <w:r w:rsidRPr="00624E88">
        <w:rPr>
          <w:i w:val="0"/>
        </w:rPr>
        <w:t xml:space="preserve">N) </w:t>
      </w:r>
      <w:r w:rsidRPr="00624E88">
        <w:rPr>
          <w:i w:val="0"/>
          <w:szCs w:val="24"/>
        </w:rPr>
        <w:t>in the early transmission of the Church Slavonic Psalter</w:t>
      </w:r>
      <w:r>
        <w:rPr>
          <w:i w:val="0"/>
          <w:szCs w:val="24"/>
        </w:rPr>
        <w:t>’,</w:t>
      </w:r>
      <w:r w:rsidRPr="00624E88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in: </w:t>
      </w:r>
      <w:r w:rsidRPr="00624E88">
        <w:rPr>
          <w:szCs w:val="24"/>
        </w:rPr>
        <w:t>The Bi</w:t>
      </w:r>
      <w:r w:rsidR="00022C8E">
        <w:rPr>
          <w:szCs w:val="24"/>
        </w:rPr>
        <w:t>ble in</w:t>
      </w:r>
      <w:r w:rsidRPr="00624E88">
        <w:rPr>
          <w:szCs w:val="24"/>
        </w:rPr>
        <w:t xml:space="preserve"> Slavic Tradition</w:t>
      </w:r>
      <w:r w:rsidRPr="00624E88">
        <w:rPr>
          <w:i w:val="0"/>
          <w:szCs w:val="24"/>
        </w:rPr>
        <w:t xml:space="preserve">, ed. </w:t>
      </w:r>
      <w:r w:rsidR="00022C8E">
        <w:rPr>
          <w:i w:val="0"/>
          <w:szCs w:val="24"/>
        </w:rPr>
        <w:t>A. Kulik</w:t>
      </w:r>
      <w:r w:rsidRPr="00624E88">
        <w:rPr>
          <w:i w:val="0"/>
          <w:szCs w:val="24"/>
        </w:rPr>
        <w:t xml:space="preserve"> et al. </w:t>
      </w:r>
      <w:r>
        <w:rPr>
          <w:i w:val="0"/>
          <w:szCs w:val="24"/>
        </w:rPr>
        <w:t>(Studia Judaeoslavica, 9), (</w:t>
      </w:r>
      <w:r w:rsidRPr="00624E88">
        <w:rPr>
          <w:i w:val="0"/>
          <w:szCs w:val="24"/>
        </w:rPr>
        <w:t>Leiden</w:t>
      </w:r>
      <w:r w:rsidR="00EE4250">
        <w:rPr>
          <w:i w:val="0"/>
          <w:iCs/>
          <w:szCs w:val="24"/>
        </w:rPr>
        <w:t xml:space="preserve"> – </w:t>
      </w:r>
      <w:r w:rsidRPr="00624E88">
        <w:rPr>
          <w:i w:val="0"/>
        </w:rPr>
        <w:t>Boston</w:t>
      </w:r>
      <w:r w:rsidRPr="00624E88">
        <w:rPr>
          <w:i w:val="0"/>
          <w:szCs w:val="24"/>
        </w:rPr>
        <w:t>: Brill</w:t>
      </w:r>
      <w:r>
        <w:rPr>
          <w:i w:val="0"/>
          <w:szCs w:val="24"/>
        </w:rPr>
        <w:t>, 2016), 89-106</w:t>
      </w:r>
      <w:r w:rsidRPr="00624E88">
        <w:rPr>
          <w:i w:val="0"/>
          <w:szCs w:val="24"/>
        </w:rPr>
        <w:t>.</w:t>
      </w:r>
    </w:p>
    <w:p w14:paraId="63EDF670" w14:textId="0597BAC4" w:rsidR="00F5371C" w:rsidRPr="00084855" w:rsidRDefault="00924E06" w:rsidP="00084855">
      <w:pPr>
        <w:pStyle w:val="BodyText"/>
        <w:tabs>
          <w:tab w:val="left" w:pos="0"/>
        </w:tabs>
        <w:ind w:left="0"/>
        <w:rPr>
          <w:i w:val="0"/>
        </w:rPr>
      </w:pPr>
      <w:r w:rsidRPr="00FD423C">
        <w:rPr>
          <w:i w:val="0"/>
        </w:rPr>
        <w:t>‘The place of the Mihanović Psalter in the fourteenth-century revised versions of the Church Slavonic Psalter</w:t>
      </w:r>
      <w:r>
        <w:rPr>
          <w:i w:val="0"/>
        </w:rPr>
        <w:t xml:space="preserve">’, </w:t>
      </w:r>
      <w:r w:rsidRPr="00CD5BA7">
        <w:t>Studia Ceranea</w:t>
      </w:r>
      <w:r>
        <w:rPr>
          <w:i w:val="0"/>
        </w:rPr>
        <w:t>, vi (2016), 75-99.</w:t>
      </w:r>
    </w:p>
    <w:p w14:paraId="3B141129" w14:textId="28E4A026" w:rsidR="00CA7A52" w:rsidRDefault="00CA7A52" w:rsidP="002451A9">
      <w:pPr>
        <w:pStyle w:val="BodyText"/>
        <w:tabs>
          <w:tab w:val="left" w:pos="0"/>
        </w:tabs>
        <w:ind w:left="0"/>
        <w:rPr>
          <w:i w:val="0"/>
        </w:rPr>
      </w:pPr>
      <w:r w:rsidRPr="0083798D">
        <w:rPr>
          <w:i w:val="0"/>
        </w:rPr>
        <w:t>‘The enigmatic Athens Psalter (Gre</w:t>
      </w:r>
      <w:r w:rsidR="005F6414">
        <w:rPr>
          <w:i w:val="0"/>
        </w:rPr>
        <w:t>ek National Library, MS 1797)’,</w:t>
      </w:r>
      <w:r>
        <w:rPr>
          <w:i w:val="0"/>
        </w:rPr>
        <w:t xml:space="preserve"> in: </w:t>
      </w:r>
      <w:r w:rsidRPr="00150329">
        <w:t>“</w:t>
      </w:r>
      <w:r>
        <w:t>Slova i zolota v</w:t>
      </w:r>
      <w:r w:rsidR="00A71E4A">
        <w:t>jaz′”. Sbornik statej pamjati Vjačeslava Mixajloviča</w:t>
      </w:r>
      <w:r>
        <w:t xml:space="preserve"> Zagrebina</w:t>
      </w:r>
      <w:r w:rsidR="005F6414">
        <w:t xml:space="preserve"> (1942-2004)</w:t>
      </w:r>
      <w:r>
        <w:rPr>
          <w:i w:val="0"/>
        </w:rPr>
        <w:t>, ed. Ž.</w:t>
      </w:r>
      <w:r w:rsidR="00A71E4A">
        <w:rPr>
          <w:i w:val="0"/>
        </w:rPr>
        <w:t xml:space="preserve"> L.</w:t>
      </w:r>
      <w:r>
        <w:rPr>
          <w:i w:val="0"/>
        </w:rPr>
        <w:t xml:space="preserve"> Levšina</w:t>
      </w:r>
      <w:r w:rsidR="005F6414">
        <w:rPr>
          <w:i w:val="0"/>
        </w:rPr>
        <w:t xml:space="preserve"> </w:t>
      </w:r>
      <w:r w:rsidR="005F6414" w:rsidRPr="005F6414">
        <w:t>et al.</w:t>
      </w:r>
      <w:r w:rsidRPr="0083798D">
        <w:rPr>
          <w:i w:val="0"/>
        </w:rPr>
        <w:t xml:space="preserve"> </w:t>
      </w:r>
      <w:r>
        <w:rPr>
          <w:i w:val="0"/>
        </w:rPr>
        <w:t>(St Petersburg: Rossijskaja Nacional</w:t>
      </w:r>
      <w:r w:rsidRPr="00CA7A52">
        <w:rPr>
          <w:i w:val="0"/>
        </w:rPr>
        <w:t>′</w:t>
      </w:r>
      <w:r>
        <w:rPr>
          <w:i w:val="0"/>
        </w:rPr>
        <w:t>naja Biblioteka, 2016), 273-81</w:t>
      </w:r>
      <w:r w:rsidRPr="0083798D">
        <w:rPr>
          <w:i w:val="0"/>
        </w:rPr>
        <w:t>.</w:t>
      </w:r>
      <w:r w:rsidR="005F6414">
        <w:rPr>
          <w:i w:val="0"/>
        </w:rPr>
        <w:t xml:space="preserve"> </w:t>
      </w:r>
    </w:p>
    <w:p w14:paraId="0BE33002" w14:textId="77777777" w:rsidR="009405B2" w:rsidRPr="009405B2" w:rsidRDefault="009405B2" w:rsidP="002451A9">
      <w:pPr>
        <w:pStyle w:val="BodyText"/>
        <w:tabs>
          <w:tab w:val="left" w:pos="0"/>
        </w:tabs>
        <w:ind w:left="0"/>
        <w:rPr>
          <w:i w:val="0"/>
        </w:rPr>
      </w:pPr>
      <w:r w:rsidRPr="009405B2">
        <w:rPr>
          <w:i w:val="0"/>
        </w:rPr>
        <w:t xml:space="preserve">‘Maksim </w:t>
      </w:r>
      <w:r w:rsidRPr="009405B2">
        <w:rPr>
          <w:i w:val="0"/>
          <w:szCs w:val="24"/>
        </w:rPr>
        <w:t xml:space="preserve">Greek in linguistic context’, in: </w:t>
      </w:r>
      <w:r w:rsidRPr="009405B2">
        <w:rPr>
          <w:szCs w:val="24"/>
        </w:rPr>
        <w:t>Latinitas in the Slavic World</w:t>
      </w:r>
      <w:r w:rsidRPr="009405B2">
        <w:rPr>
          <w:i w:val="0"/>
          <w:szCs w:val="24"/>
        </w:rPr>
        <w:t>, ed. V. S. Tomelleri, I. V. Verner (Specimina Philologiae Slavicae</w:t>
      </w:r>
      <w:r>
        <w:rPr>
          <w:i w:val="0"/>
          <w:szCs w:val="24"/>
        </w:rPr>
        <w:t>, 192) (Berlin: Peter Lang, 2018</w:t>
      </w:r>
      <w:r w:rsidRPr="009405B2">
        <w:rPr>
          <w:i w:val="0"/>
          <w:szCs w:val="24"/>
        </w:rPr>
        <w:t>), 173-205.</w:t>
      </w:r>
      <w:r w:rsidRPr="009405B2">
        <w:rPr>
          <w:i w:val="0"/>
        </w:rPr>
        <w:t xml:space="preserve"> </w:t>
      </w:r>
    </w:p>
    <w:p w14:paraId="25B57599" w14:textId="77777777" w:rsidR="00AF0B6A" w:rsidRPr="00653156" w:rsidRDefault="00AF0B6A" w:rsidP="00AF0B6A">
      <w:pPr>
        <w:spacing w:after="120"/>
      </w:pPr>
      <w:r>
        <w:t xml:space="preserve">‘Re-evaluating the </w:t>
      </w:r>
      <w:r>
        <w:rPr>
          <w:i/>
        </w:rPr>
        <w:t>Psalterium Sinaiticum</w:t>
      </w:r>
      <w:r>
        <w:t xml:space="preserve">: the limitations of internal reconstruction as a text-critical method’, in: </w:t>
      </w:r>
      <w:r>
        <w:rPr>
          <w:i/>
          <w:iCs/>
          <w:color w:val="000000"/>
        </w:rPr>
        <w:t>Habent sua fata libelli</w:t>
      </w:r>
      <w:r>
        <w:rPr>
          <w:iCs/>
          <w:color w:val="000000"/>
        </w:rPr>
        <w:t xml:space="preserve">, </w:t>
      </w:r>
      <w:r w:rsidRPr="00B91EDA">
        <w:rPr>
          <w:i/>
          <w:color w:val="000000"/>
        </w:rPr>
        <w:t>Poznańskie Studia Slawistyczne</w:t>
      </w:r>
      <w:r>
        <w:rPr>
          <w:color w:val="000000"/>
        </w:rPr>
        <w:t>, xiv (2018)</w:t>
      </w:r>
      <w:r>
        <w:t>, 149-67.</w:t>
      </w:r>
    </w:p>
    <w:p w14:paraId="2AB39B37" w14:textId="77777777" w:rsidR="00A03238" w:rsidRDefault="00A03238" w:rsidP="00A03238">
      <w:pPr>
        <w:pStyle w:val="BodyText"/>
        <w:tabs>
          <w:tab w:val="left" w:pos="0"/>
        </w:tabs>
        <w:ind w:left="0"/>
        <w:rPr>
          <w:i w:val="0"/>
        </w:rPr>
      </w:pPr>
      <w:r>
        <w:rPr>
          <w:i w:val="0"/>
        </w:rPr>
        <w:t>‘Observations on the Liturgical P</w:t>
      </w:r>
      <w:r w:rsidRPr="001734AE">
        <w:rPr>
          <w:i w:val="0"/>
        </w:rPr>
        <w:t>salter in MS Canon. Liturg. 172 (Bodleian Library, Oxford)’,</w:t>
      </w:r>
      <w:r>
        <w:rPr>
          <w:i w:val="0"/>
        </w:rPr>
        <w:t xml:space="preserve"> </w:t>
      </w:r>
      <w:r>
        <w:t>Slovo</w:t>
      </w:r>
      <w:r w:rsidR="000F7BBF">
        <w:rPr>
          <w:i w:val="0"/>
        </w:rPr>
        <w:t>, lxx (2019</w:t>
      </w:r>
      <w:r>
        <w:rPr>
          <w:i w:val="0"/>
        </w:rPr>
        <w:t>), 77-91.</w:t>
      </w:r>
    </w:p>
    <w:p w14:paraId="475667B8" w14:textId="65E090B4" w:rsidR="00ED16EA" w:rsidRDefault="00ED16EA" w:rsidP="00A03238">
      <w:pPr>
        <w:spacing w:after="120"/>
      </w:pPr>
      <w:r>
        <w:rPr>
          <w:szCs w:val="24"/>
        </w:rPr>
        <w:t xml:space="preserve">‘Present events: the interaction of verbal aspect and non-past tense in early Church Slavonic’, in: </w:t>
      </w:r>
      <w:r>
        <w:rPr>
          <w:i/>
          <w:szCs w:val="24"/>
        </w:rPr>
        <w:t>Medieval</w:t>
      </w:r>
      <w:r w:rsidRPr="00084855">
        <w:rPr>
          <w:i/>
          <w:szCs w:val="24"/>
        </w:rPr>
        <w:t xml:space="preserve"> Temporalities</w:t>
      </w:r>
      <w:r w:rsidR="006F1D89">
        <w:rPr>
          <w:i/>
          <w:szCs w:val="24"/>
        </w:rPr>
        <w:t>. The Experience of Time in Medieval Europe</w:t>
      </w:r>
      <w:r>
        <w:rPr>
          <w:szCs w:val="24"/>
        </w:rPr>
        <w:t>, ed.</w:t>
      </w:r>
      <w:r w:rsidRPr="00084855">
        <w:rPr>
          <w:szCs w:val="24"/>
        </w:rPr>
        <w:t xml:space="preserve"> </w:t>
      </w:r>
      <w:r w:rsidR="006F1D89">
        <w:t>A. Suerbaum, A. Sutherland (</w:t>
      </w:r>
      <w:r w:rsidR="00C12E8A">
        <w:t>Cambridge:</w:t>
      </w:r>
      <w:r>
        <w:t xml:space="preserve"> </w:t>
      </w:r>
      <w:r w:rsidR="00C12E8A">
        <w:t>D. S. Brewer, 2021), 159-82</w:t>
      </w:r>
      <w:r>
        <w:t>.</w:t>
      </w:r>
    </w:p>
    <w:p w14:paraId="58D5D668" w14:textId="77777777" w:rsidR="00224FA7" w:rsidRDefault="00224FA7" w:rsidP="00224FA7">
      <w:pPr>
        <w:pStyle w:val="BodyText"/>
        <w:ind w:left="0"/>
        <w:rPr>
          <w:i w:val="0"/>
        </w:rPr>
      </w:pPr>
      <w:r>
        <w:rPr>
          <w:i w:val="0"/>
          <w:szCs w:val="24"/>
        </w:rPr>
        <w:t>‘The Greek Source of Maksim Grek’s Church Slavonic catena on the Psalms</w:t>
      </w:r>
      <w:r>
        <w:rPr>
          <w:i w:val="0"/>
          <w:caps/>
          <w:szCs w:val="24"/>
        </w:rPr>
        <w:t xml:space="preserve">’, </w:t>
      </w:r>
      <w:r w:rsidRPr="00224FA7">
        <w:rPr>
          <w:i w:val="0"/>
          <w:szCs w:val="24"/>
        </w:rPr>
        <w:t xml:space="preserve">in: </w:t>
      </w:r>
      <w:r w:rsidRPr="00224FA7">
        <w:rPr>
          <w:szCs w:val="24"/>
        </w:rPr>
        <w:t>Trudy Instituta russkogo jazyka im. V. V. Vinogradova</w:t>
      </w:r>
      <w:r w:rsidRPr="00224FA7">
        <w:rPr>
          <w:i w:val="0"/>
          <w:szCs w:val="24"/>
        </w:rPr>
        <w:t>,</w:t>
      </w:r>
      <w:r w:rsidR="00EA0BBA">
        <w:rPr>
          <w:i w:val="0"/>
          <w:szCs w:val="24"/>
        </w:rPr>
        <w:t xml:space="preserve"> No.1,</w:t>
      </w:r>
      <w:r w:rsidRPr="00224FA7">
        <w:rPr>
          <w:i w:val="0"/>
          <w:szCs w:val="24"/>
        </w:rPr>
        <w:t xml:space="preserve"> </w:t>
      </w:r>
      <w:r w:rsidRPr="00224FA7">
        <w:rPr>
          <w:szCs w:val="24"/>
        </w:rPr>
        <w:t>Lingvističeskoe istočnikovedenie i istorija russkogo jazyka</w:t>
      </w:r>
      <w:r w:rsidRPr="00224FA7">
        <w:rPr>
          <w:i w:val="0"/>
          <w:szCs w:val="24"/>
        </w:rPr>
        <w:t>, 2021, 223-232.</w:t>
      </w:r>
      <w:r>
        <w:rPr>
          <w:i w:val="0"/>
          <w:caps/>
          <w:szCs w:val="24"/>
        </w:rPr>
        <w:t xml:space="preserve"> </w:t>
      </w:r>
    </w:p>
    <w:p w14:paraId="1E8F4872" w14:textId="77777777" w:rsidR="002D2962" w:rsidRPr="002D2962" w:rsidRDefault="002D2962" w:rsidP="002451A9">
      <w:pPr>
        <w:pStyle w:val="BodyText"/>
        <w:tabs>
          <w:tab w:val="left" w:pos="0"/>
        </w:tabs>
        <w:ind w:left="0"/>
      </w:pPr>
      <w:r w:rsidRPr="00282F27">
        <w:rPr>
          <w:color w:val="333333"/>
          <w:szCs w:val="24"/>
        </w:rPr>
        <w:t xml:space="preserve">Psalterium Demetrii Sinaitici Bd. 2: </w:t>
      </w:r>
      <w:r w:rsidRPr="00282F27">
        <w:rPr>
          <w:bCs/>
          <w:color w:val="333333"/>
          <w:szCs w:val="24"/>
        </w:rPr>
        <w:t xml:space="preserve">monasterii sanctae Catharinae codex slav. 3/N, adiectis foliis medicinalibus, </w:t>
      </w:r>
      <w:r>
        <w:rPr>
          <w:bCs/>
          <w:i w:val="0"/>
          <w:color w:val="333333"/>
          <w:szCs w:val="24"/>
        </w:rPr>
        <w:t>ed. H. Miklas, C. M. MacRobert, A. N. Sobolev et al.</w:t>
      </w:r>
      <w:r w:rsidR="00EE4250">
        <w:rPr>
          <w:bCs/>
          <w:i w:val="0"/>
          <w:color w:val="333333"/>
          <w:szCs w:val="24"/>
        </w:rPr>
        <w:t xml:space="preserve"> (</w:t>
      </w:r>
      <w:r>
        <w:rPr>
          <w:bCs/>
          <w:i w:val="0"/>
          <w:color w:val="333333"/>
          <w:szCs w:val="24"/>
        </w:rPr>
        <w:t>Vienna: Holzhausen, 2021</w:t>
      </w:r>
      <w:r w:rsidR="00EE4250">
        <w:rPr>
          <w:bCs/>
          <w:i w:val="0"/>
          <w:color w:val="333333"/>
          <w:szCs w:val="24"/>
        </w:rPr>
        <w:t>)</w:t>
      </w:r>
      <w:r>
        <w:rPr>
          <w:bCs/>
          <w:i w:val="0"/>
          <w:color w:val="333333"/>
          <w:szCs w:val="24"/>
        </w:rPr>
        <w:t>.</w:t>
      </w:r>
    </w:p>
    <w:p w14:paraId="6406D692" w14:textId="77777777" w:rsidR="00DF10BD" w:rsidRPr="00DF10BD" w:rsidRDefault="00DF10BD" w:rsidP="002451A9">
      <w:pPr>
        <w:pStyle w:val="BodyText"/>
        <w:tabs>
          <w:tab w:val="left" w:pos="0"/>
        </w:tabs>
        <w:ind w:left="0"/>
        <w:rPr>
          <w:i w:val="0"/>
        </w:rPr>
      </w:pPr>
      <w:r>
        <w:rPr>
          <w:i w:val="0"/>
        </w:rPr>
        <w:t xml:space="preserve">‘A reappraisal of the Radomir Psalter’, in: </w:t>
      </w:r>
      <w:r>
        <w:t>Radomirov psaltir. Paleografski i tekstologičen analiz. Naborno izdanie</w:t>
      </w:r>
      <w:r>
        <w:rPr>
          <w:i w:val="0"/>
        </w:rPr>
        <w:t>, ed. Ieromonax Atanasij, trans. E. Dikova (Zographou Monastery, 2022), 54-127.</w:t>
      </w:r>
    </w:p>
    <w:p w14:paraId="7562805E" w14:textId="77777777" w:rsidR="00EE4250" w:rsidRDefault="00EE4250" w:rsidP="002451A9">
      <w:pPr>
        <w:pStyle w:val="BodyText"/>
        <w:tabs>
          <w:tab w:val="left" w:pos="0"/>
        </w:tabs>
        <w:ind w:left="0"/>
        <w:rPr>
          <w:szCs w:val="24"/>
        </w:rPr>
      </w:pPr>
      <w:r>
        <w:rPr>
          <w:i w:val="0"/>
          <w:szCs w:val="24"/>
        </w:rPr>
        <w:t>‘</w:t>
      </w:r>
      <w:r w:rsidRPr="00A83441">
        <w:rPr>
          <w:i w:val="0"/>
          <w:szCs w:val="24"/>
        </w:rPr>
        <w:t>The multiple-author catena on the Psalms translated into Church Slavonic by Maximus Triboles</w:t>
      </w:r>
      <w:r>
        <w:rPr>
          <w:i w:val="0"/>
          <w:szCs w:val="24"/>
        </w:rPr>
        <w:t>’,</w:t>
      </w:r>
      <w:r w:rsidR="004101FB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 in: </w:t>
      </w:r>
      <w:r>
        <w:rPr>
          <w:iCs/>
          <w:szCs w:val="24"/>
        </w:rPr>
        <w:t>Research on Psalter Catenae: Current Trends and Recent Developments</w:t>
      </w:r>
      <w:r>
        <w:rPr>
          <w:i w:val="0"/>
          <w:szCs w:val="24"/>
        </w:rPr>
        <w:t>, ed. C. Bandt, R. Ceulemans (</w:t>
      </w:r>
      <w:r>
        <w:rPr>
          <w:szCs w:val="24"/>
        </w:rPr>
        <w:t>Texte und Untersuchungen zur Geschichte der altchristlichen Literatur</w:t>
      </w:r>
      <w:r>
        <w:rPr>
          <w:i w:val="0"/>
          <w:iCs/>
          <w:szCs w:val="24"/>
        </w:rPr>
        <w:t>, 197)</w:t>
      </w:r>
      <w:r>
        <w:rPr>
          <w:szCs w:val="24"/>
        </w:rPr>
        <w:t xml:space="preserve"> </w:t>
      </w:r>
      <w:r>
        <w:rPr>
          <w:i w:val="0"/>
          <w:iCs/>
          <w:szCs w:val="24"/>
        </w:rPr>
        <w:t>(Berlin – Boston: De Gruyter, 2024), 119-135</w:t>
      </w:r>
      <w:r>
        <w:rPr>
          <w:szCs w:val="24"/>
        </w:rPr>
        <w:t>.</w:t>
      </w:r>
    </w:p>
    <w:p w14:paraId="77DC3206" w14:textId="77777777" w:rsidR="007341A8" w:rsidRDefault="007341A8">
      <w:pPr>
        <w:pStyle w:val="BodyText"/>
        <w:ind w:left="0"/>
        <w:rPr>
          <w:i w:val="0"/>
        </w:rPr>
      </w:pPr>
    </w:p>
    <w:sectPr w:rsidR="007341A8">
      <w:footnotePr>
        <w:numFmt w:val="chicago"/>
        <w:numRestart w:val="eachPage"/>
      </w:footnotePr>
      <w:endnotePr>
        <w:numFmt w:val="decimal"/>
      </w:endnotePr>
      <w:type w:val="continuous"/>
      <w:pgSz w:w="11907" w:h="16840"/>
      <w:pgMar w:top="1134" w:right="1134" w:bottom="1134" w:left="1134" w:header="720" w:footer="720" w:gutter="0"/>
      <w:paperSrc w:first="8" w:other="8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 Efo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4B68756"/>
    <w:lvl w:ilvl="0">
      <w:numFmt w:val="decimal"/>
      <w:lvlText w:val="*"/>
      <w:lvlJc w:val="left"/>
    </w:lvl>
  </w:abstractNum>
  <w:num w:numId="1" w16cid:durableId="751391345">
    <w:abstractNumId w:val="0"/>
    <w:lvlOverride w:ilvl="0">
      <w:lvl w:ilvl="0">
        <w:start w:val="1"/>
        <w:numFmt w:val="bullet"/>
        <w:lvlText w:val=""/>
        <w:legacy w:legacy="1" w:legacySpace="0" w:legacyIndent="187"/>
        <w:lvlJc w:val="left"/>
        <w:pPr>
          <w:ind w:left="-1253" w:hanging="187"/>
        </w:pPr>
        <w:rPr>
          <w:rFonts w:ascii="Times" w:hAnsi="Times" w:hint="default"/>
          <w:sz w:val="20"/>
        </w:rPr>
      </w:lvl>
    </w:lvlOverride>
  </w:num>
  <w:num w:numId="2" w16cid:durableId="210925188">
    <w:abstractNumId w:val="0"/>
    <w:lvlOverride w:ilvl="0">
      <w:lvl w:ilvl="0">
        <w:start w:val="1"/>
        <w:numFmt w:val="bullet"/>
        <w:lvlText w:val=""/>
        <w:legacy w:legacy="1" w:legacySpace="0" w:legacyIndent="187"/>
        <w:lvlJc w:val="left"/>
        <w:pPr>
          <w:ind w:left="187" w:hanging="187"/>
        </w:pPr>
        <w:rPr>
          <w:rFonts w:ascii="Helvetica" w:hAnsi="Helvetica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</w:footnotePr>
  <w:endnotePr>
    <w:numFmt w:val="decimal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E4B30"/>
    <w:rsid w:val="00002407"/>
    <w:rsid w:val="00006F30"/>
    <w:rsid w:val="00014566"/>
    <w:rsid w:val="0002121A"/>
    <w:rsid w:val="00022C8E"/>
    <w:rsid w:val="00023183"/>
    <w:rsid w:val="00041C09"/>
    <w:rsid w:val="0004462D"/>
    <w:rsid w:val="00053CD9"/>
    <w:rsid w:val="000567FD"/>
    <w:rsid w:val="00067216"/>
    <w:rsid w:val="00084855"/>
    <w:rsid w:val="0008519A"/>
    <w:rsid w:val="00092D23"/>
    <w:rsid w:val="00097299"/>
    <w:rsid w:val="000C6A15"/>
    <w:rsid w:val="000F430C"/>
    <w:rsid w:val="000F7BBF"/>
    <w:rsid w:val="001040C5"/>
    <w:rsid w:val="001149AB"/>
    <w:rsid w:val="00125A31"/>
    <w:rsid w:val="0014181A"/>
    <w:rsid w:val="00150329"/>
    <w:rsid w:val="0015656D"/>
    <w:rsid w:val="001734AE"/>
    <w:rsid w:val="001820CA"/>
    <w:rsid w:val="00184E29"/>
    <w:rsid w:val="001A2CFF"/>
    <w:rsid w:val="001B6F9C"/>
    <w:rsid w:val="00221C69"/>
    <w:rsid w:val="00221FFD"/>
    <w:rsid w:val="00222C4D"/>
    <w:rsid w:val="00224FA7"/>
    <w:rsid w:val="00240F53"/>
    <w:rsid w:val="002451A9"/>
    <w:rsid w:val="002474A9"/>
    <w:rsid w:val="002542A8"/>
    <w:rsid w:val="00262636"/>
    <w:rsid w:val="00273F75"/>
    <w:rsid w:val="00274492"/>
    <w:rsid w:val="00282F27"/>
    <w:rsid w:val="0028641D"/>
    <w:rsid w:val="00287AD2"/>
    <w:rsid w:val="002A4D3F"/>
    <w:rsid w:val="002B444E"/>
    <w:rsid w:val="002B6960"/>
    <w:rsid w:val="002D2962"/>
    <w:rsid w:val="002D7113"/>
    <w:rsid w:val="003144A4"/>
    <w:rsid w:val="00337045"/>
    <w:rsid w:val="00347E39"/>
    <w:rsid w:val="003509DE"/>
    <w:rsid w:val="00351F01"/>
    <w:rsid w:val="00361EBF"/>
    <w:rsid w:val="003642FF"/>
    <w:rsid w:val="003778EC"/>
    <w:rsid w:val="003828D9"/>
    <w:rsid w:val="00393CC1"/>
    <w:rsid w:val="003A0722"/>
    <w:rsid w:val="003A1292"/>
    <w:rsid w:val="003A57A9"/>
    <w:rsid w:val="003A73A5"/>
    <w:rsid w:val="003B0C7C"/>
    <w:rsid w:val="003F6869"/>
    <w:rsid w:val="004101FB"/>
    <w:rsid w:val="00426A76"/>
    <w:rsid w:val="004415AA"/>
    <w:rsid w:val="0044737D"/>
    <w:rsid w:val="00471F9B"/>
    <w:rsid w:val="00481DB4"/>
    <w:rsid w:val="004A204E"/>
    <w:rsid w:val="004A5E84"/>
    <w:rsid w:val="004D535D"/>
    <w:rsid w:val="004F56D2"/>
    <w:rsid w:val="005248F1"/>
    <w:rsid w:val="00526626"/>
    <w:rsid w:val="00532ED5"/>
    <w:rsid w:val="00550D2D"/>
    <w:rsid w:val="00551C8C"/>
    <w:rsid w:val="00552276"/>
    <w:rsid w:val="00577AE4"/>
    <w:rsid w:val="00583C2D"/>
    <w:rsid w:val="00584BAE"/>
    <w:rsid w:val="005A52FF"/>
    <w:rsid w:val="005A6E4C"/>
    <w:rsid w:val="005A79FC"/>
    <w:rsid w:val="005B2FB3"/>
    <w:rsid w:val="005C3F87"/>
    <w:rsid w:val="005C7AF2"/>
    <w:rsid w:val="005E4B30"/>
    <w:rsid w:val="005F2ABB"/>
    <w:rsid w:val="005F6414"/>
    <w:rsid w:val="0060478C"/>
    <w:rsid w:val="00624E88"/>
    <w:rsid w:val="0063000F"/>
    <w:rsid w:val="006324E3"/>
    <w:rsid w:val="00645364"/>
    <w:rsid w:val="00653156"/>
    <w:rsid w:val="00654794"/>
    <w:rsid w:val="0066162B"/>
    <w:rsid w:val="006663B6"/>
    <w:rsid w:val="00672079"/>
    <w:rsid w:val="006764F3"/>
    <w:rsid w:val="00690555"/>
    <w:rsid w:val="0069581B"/>
    <w:rsid w:val="006B0037"/>
    <w:rsid w:val="006B5E3C"/>
    <w:rsid w:val="006C1397"/>
    <w:rsid w:val="006C4964"/>
    <w:rsid w:val="006D109F"/>
    <w:rsid w:val="006D469C"/>
    <w:rsid w:val="006F1D89"/>
    <w:rsid w:val="00710360"/>
    <w:rsid w:val="007228A8"/>
    <w:rsid w:val="00726192"/>
    <w:rsid w:val="007341A8"/>
    <w:rsid w:val="00735EF8"/>
    <w:rsid w:val="00753070"/>
    <w:rsid w:val="0076284A"/>
    <w:rsid w:val="0078734E"/>
    <w:rsid w:val="00787C57"/>
    <w:rsid w:val="007950FD"/>
    <w:rsid w:val="007979D9"/>
    <w:rsid w:val="007A28C7"/>
    <w:rsid w:val="007A48DE"/>
    <w:rsid w:val="007B57E5"/>
    <w:rsid w:val="007F0F1F"/>
    <w:rsid w:val="007F1C66"/>
    <w:rsid w:val="00811190"/>
    <w:rsid w:val="00822386"/>
    <w:rsid w:val="0083798D"/>
    <w:rsid w:val="008603DA"/>
    <w:rsid w:val="00866CEE"/>
    <w:rsid w:val="008923F2"/>
    <w:rsid w:val="008B3E86"/>
    <w:rsid w:val="008F33BC"/>
    <w:rsid w:val="00911402"/>
    <w:rsid w:val="00913106"/>
    <w:rsid w:val="009248F5"/>
    <w:rsid w:val="00924E06"/>
    <w:rsid w:val="0092694D"/>
    <w:rsid w:val="009324E8"/>
    <w:rsid w:val="00934607"/>
    <w:rsid w:val="00935095"/>
    <w:rsid w:val="009405B2"/>
    <w:rsid w:val="0094779C"/>
    <w:rsid w:val="00951D7A"/>
    <w:rsid w:val="009576AB"/>
    <w:rsid w:val="00971470"/>
    <w:rsid w:val="009754D6"/>
    <w:rsid w:val="00977770"/>
    <w:rsid w:val="00994802"/>
    <w:rsid w:val="009C19AD"/>
    <w:rsid w:val="009D484D"/>
    <w:rsid w:val="009F061E"/>
    <w:rsid w:val="009F3F6F"/>
    <w:rsid w:val="00A03238"/>
    <w:rsid w:val="00A25D39"/>
    <w:rsid w:val="00A278A6"/>
    <w:rsid w:val="00A41E23"/>
    <w:rsid w:val="00A45666"/>
    <w:rsid w:val="00A71E4A"/>
    <w:rsid w:val="00A83441"/>
    <w:rsid w:val="00A85885"/>
    <w:rsid w:val="00A91EC1"/>
    <w:rsid w:val="00AA11ED"/>
    <w:rsid w:val="00AA2333"/>
    <w:rsid w:val="00AA6CEB"/>
    <w:rsid w:val="00AB16A3"/>
    <w:rsid w:val="00AB6B08"/>
    <w:rsid w:val="00AE5342"/>
    <w:rsid w:val="00AF0B6A"/>
    <w:rsid w:val="00AF0BB5"/>
    <w:rsid w:val="00AF79E1"/>
    <w:rsid w:val="00B0092E"/>
    <w:rsid w:val="00B0302E"/>
    <w:rsid w:val="00B21FBC"/>
    <w:rsid w:val="00B34F93"/>
    <w:rsid w:val="00B52C11"/>
    <w:rsid w:val="00B90506"/>
    <w:rsid w:val="00B91EDA"/>
    <w:rsid w:val="00BA2122"/>
    <w:rsid w:val="00BA5FD8"/>
    <w:rsid w:val="00BA7A76"/>
    <w:rsid w:val="00BC373C"/>
    <w:rsid w:val="00BD3861"/>
    <w:rsid w:val="00BE68ED"/>
    <w:rsid w:val="00BF1701"/>
    <w:rsid w:val="00C0786C"/>
    <w:rsid w:val="00C12E8A"/>
    <w:rsid w:val="00C1499F"/>
    <w:rsid w:val="00C42524"/>
    <w:rsid w:val="00C4664F"/>
    <w:rsid w:val="00C47C09"/>
    <w:rsid w:val="00C602DD"/>
    <w:rsid w:val="00C867CD"/>
    <w:rsid w:val="00C957EA"/>
    <w:rsid w:val="00C96FF6"/>
    <w:rsid w:val="00CA2F0D"/>
    <w:rsid w:val="00CA6872"/>
    <w:rsid w:val="00CA7A52"/>
    <w:rsid w:val="00CC1282"/>
    <w:rsid w:val="00CD5BA7"/>
    <w:rsid w:val="00CE1BE6"/>
    <w:rsid w:val="00CE67EC"/>
    <w:rsid w:val="00CF2D45"/>
    <w:rsid w:val="00CF6E61"/>
    <w:rsid w:val="00CF6EF4"/>
    <w:rsid w:val="00D056CE"/>
    <w:rsid w:val="00D24251"/>
    <w:rsid w:val="00D56BFE"/>
    <w:rsid w:val="00D707D8"/>
    <w:rsid w:val="00D827E1"/>
    <w:rsid w:val="00D85F69"/>
    <w:rsid w:val="00D86D4E"/>
    <w:rsid w:val="00DB4AF8"/>
    <w:rsid w:val="00DC6F48"/>
    <w:rsid w:val="00DE1B78"/>
    <w:rsid w:val="00DF10BD"/>
    <w:rsid w:val="00DF6C65"/>
    <w:rsid w:val="00E25313"/>
    <w:rsid w:val="00E3054B"/>
    <w:rsid w:val="00E32818"/>
    <w:rsid w:val="00E4524C"/>
    <w:rsid w:val="00E634B0"/>
    <w:rsid w:val="00E733D8"/>
    <w:rsid w:val="00E741BB"/>
    <w:rsid w:val="00E82D2A"/>
    <w:rsid w:val="00E91C30"/>
    <w:rsid w:val="00EA0BBA"/>
    <w:rsid w:val="00EA3D18"/>
    <w:rsid w:val="00EA735B"/>
    <w:rsid w:val="00EC36F7"/>
    <w:rsid w:val="00ED16EA"/>
    <w:rsid w:val="00ED5BCE"/>
    <w:rsid w:val="00EE4250"/>
    <w:rsid w:val="00F01D4F"/>
    <w:rsid w:val="00F0549B"/>
    <w:rsid w:val="00F245F3"/>
    <w:rsid w:val="00F36BD6"/>
    <w:rsid w:val="00F42BBE"/>
    <w:rsid w:val="00F42E22"/>
    <w:rsid w:val="00F476AA"/>
    <w:rsid w:val="00F514F1"/>
    <w:rsid w:val="00F517CF"/>
    <w:rsid w:val="00F5371C"/>
    <w:rsid w:val="00F57671"/>
    <w:rsid w:val="00F6643C"/>
    <w:rsid w:val="00F92D03"/>
    <w:rsid w:val="00F95D4E"/>
    <w:rsid w:val="00FC274C"/>
    <w:rsid w:val="00FD423C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6D48C63"/>
  <w15:chartTrackingRefBased/>
  <w15:docId w15:val="{51334E97-583F-475D-B82D-F84C980E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  <w:ind w:left="-1080"/>
    </w:pPr>
    <w:rPr>
      <w:i/>
    </w:rPr>
  </w:style>
  <w:style w:type="paragraph" w:styleId="BodyTextIndent">
    <w:name w:val="Body Text Indent"/>
    <w:basedOn w:val="BodyText"/>
    <w:pPr>
      <w:pBdr>
        <w:left w:val="single" w:sz="6" w:space="23" w:color="auto"/>
      </w:pBdr>
      <w:ind w:left="360"/>
    </w:pPr>
  </w:style>
  <w:style w:type="paragraph" w:styleId="Date">
    <w:name w:val="Date"/>
    <w:basedOn w:val="BodyText"/>
    <w:pPr>
      <w:keepNext/>
      <w:framePr w:w="4392" w:wrap="around" w:vAnchor="text" w:hAnchor="margin" w:xAlign="right" w:y="87"/>
      <w:spacing w:before="60" w:line="260" w:lineRule="exact"/>
      <w:ind w:left="0" w:right="65"/>
    </w:pPr>
    <w:rPr>
      <w:rFonts w:ascii="Arial" w:hAnsi="Arial"/>
      <w:sz w:val="18"/>
    </w:rPr>
  </w:style>
  <w:style w:type="paragraph" w:customStyle="1" w:styleId="CityState">
    <w:name w:val="City/State"/>
    <w:basedOn w:val="BodyText"/>
    <w:pPr>
      <w:keepNext/>
      <w:spacing w:after="0" w:line="260" w:lineRule="exact"/>
      <w:ind w:left="-1440"/>
    </w:pPr>
    <w:rPr>
      <w:rFonts w:ascii="Arial" w:hAnsi="Arial"/>
      <w:i w:val="0"/>
    </w:rPr>
  </w:style>
  <w:style w:type="character" w:styleId="Emphasis">
    <w:name w:val="Emphasis"/>
    <w:uiPriority w:val="20"/>
    <w:qFormat/>
    <w:rPr>
      <w:i/>
    </w:rPr>
  </w:style>
  <w:style w:type="paragraph" w:styleId="Footer">
    <w:name w:val="footer"/>
    <w:basedOn w:val="HeaderBase"/>
  </w:style>
  <w:style w:type="paragraph" w:customStyle="1" w:styleId="CompanyName">
    <w:name w:val="Company Name"/>
    <w:basedOn w:val="BodyText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Header">
    <w:name w:val="header"/>
    <w:basedOn w:val="HeaderBase"/>
  </w:style>
  <w:style w:type="paragraph" w:customStyle="1" w:styleId="DocumentLabel">
    <w:name w:val="Document Label"/>
    <w:basedOn w:val="HeadingBase"/>
    <w:next w:val="Normal"/>
    <w:pPr>
      <w:spacing w:after="260"/>
    </w:pPr>
    <w:rPr>
      <w:rFonts w:ascii="Arial" w:hAnsi="Arial"/>
      <w:b w:val="0"/>
      <w:caps/>
      <w:sz w:val="28"/>
    </w:rPr>
  </w:style>
  <w:style w:type="paragraph" w:customStyle="1" w:styleId="FootnoteBase">
    <w:name w:val="Footnote Base"/>
    <w:basedOn w:val="Normal"/>
  </w:style>
  <w:style w:type="paragraph" w:customStyle="1" w:styleId="Institution">
    <w:name w:val="Institution"/>
    <w:basedOn w:val="HeadingBase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customStyle="1" w:styleId="HeaderBase">
    <w:name w:val="Header Base"/>
    <w:basedOn w:val="Normal"/>
    <w:pPr>
      <w:tabs>
        <w:tab w:val="center" w:pos="2520"/>
        <w:tab w:val="right" w:pos="6480"/>
      </w:tabs>
    </w:pPr>
    <w:rPr>
      <w:i/>
    </w:rPr>
  </w:style>
  <w:style w:type="paragraph" w:styleId="List">
    <w:name w:val="List"/>
    <w:basedOn w:val="BodyText"/>
    <w:pPr>
      <w:spacing w:before="60" w:after="60" w:line="260" w:lineRule="exact"/>
      <w:ind w:left="-720" w:right="1440" w:hanging="720"/>
    </w:pPr>
  </w:style>
  <w:style w:type="paragraph" w:styleId="ListBullet">
    <w:name w:val="List Bullet"/>
    <w:basedOn w:val="List"/>
  </w:style>
  <w:style w:type="paragraph" w:customStyle="1" w:styleId="HeadingBase">
    <w:name w:val="Heading Base"/>
    <w:basedOn w:val="Normal"/>
    <w:pPr>
      <w:keepNext/>
      <w:keepLines/>
      <w:spacing w:before="120"/>
      <w:ind w:left="-2160"/>
    </w:pPr>
    <w:rPr>
      <w:b/>
      <w:spacing w:val="70"/>
    </w:rPr>
  </w:style>
  <w:style w:type="character" w:customStyle="1" w:styleId="Job">
    <w:name w:val="Job"/>
    <w:rPr>
      <w:b/>
    </w:rPr>
  </w:style>
  <w:style w:type="character" w:customStyle="1" w:styleId="Lead-inEmphasis">
    <w:name w:val="Lead-in Emphasis"/>
    <w:rPr>
      <w:b/>
      <w:i/>
    </w:rPr>
  </w:style>
  <w:style w:type="paragraph" w:styleId="List2">
    <w:name w:val="List 2"/>
    <w:basedOn w:val="List"/>
    <w:pPr>
      <w:ind w:left="720" w:hanging="360"/>
    </w:pPr>
  </w:style>
  <w:style w:type="paragraph" w:styleId="ListNumber">
    <w:name w:val="List Number"/>
    <w:basedOn w:val="List"/>
  </w:style>
  <w:style w:type="paragraph" w:styleId="List3">
    <w:name w:val="List 3"/>
    <w:basedOn w:val="List"/>
    <w:pPr>
      <w:ind w:left="1080" w:hanging="360"/>
    </w:pPr>
  </w:style>
  <w:style w:type="paragraph" w:styleId="List4">
    <w:name w:val="List 4"/>
    <w:basedOn w:val="List"/>
    <w:pPr>
      <w:ind w:left="1440" w:hanging="360"/>
    </w:p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customStyle="1" w:styleId="Name">
    <w:name w:val="Name"/>
    <w:basedOn w:val="BodyText"/>
    <w:pPr>
      <w:spacing w:after="0"/>
    </w:pPr>
    <w:rPr>
      <w:b/>
      <w:sz w:val="32"/>
    </w:rPr>
  </w:style>
  <w:style w:type="paragraph" w:customStyle="1" w:styleId="Objective">
    <w:name w:val="Objective"/>
    <w:basedOn w:val="BodyText"/>
    <w:pPr>
      <w:spacing w:before="240" w:line="260" w:lineRule="exact"/>
      <w:ind w:left="-1440"/>
    </w:pPr>
  </w:style>
  <w:style w:type="character" w:styleId="PageNumber">
    <w:name w:val="page number"/>
  </w:style>
  <w:style w:type="paragraph" w:styleId="List5">
    <w:name w:val="List 5"/>
    <w:basedOn w:val="List"/>
    <w:pPr>
      <w:ind w:left="1800" w:hanging="360"/>
    </w:pPr>
  </w:style>
  <w:style w:type="paragraph" w:customStyle="1" w:styleId="Picture">
    <w:name w:val="Picture"/>
    <w:basedOn w:val="BodyText"/>
    <w:rPr>
      <w:i w:val="0"/>
    </w:rPr>
  </w:style>
  <w:style w:type="character" w:customStyle="1" w:styleId="Position">
    <w:name w:val="Position"/>
    <w:rPr>
      <w:rFonts w:ascii="Arial Narrow" w:hAnsi="Arial Narrow"/>
      <w:b/>
      <w:sz w:val="22"/>
    </w:rPr>
  </w:style>
  <w:style w:type="paragraph" w:styleId="ListBullet2">
    <w:name w:val="List Bullet 2"/>
    <w:basedOn w:val="ListBullet"/>
    <w:pPr>
      <w:ind w:left="720" w:hanging="360"/>
    </w:pPr>
  </w:style>
  <w:style w:type="paragraph" w:styleId="ListBullet3">
    <w:name w:val="List Bullet 3"/>
    <w:basedOn w:val="ListBullet"/>
    <w:pPr>
      <w:ind w:left="1080" w:hanging="360"/>
    </w:pPr>
  </w:style>
  <w:style w:type="paragraph" w:customStyle="1" w:styleId="Achievement">
    <w:name w:val="Achievement"/>
    <w:basedOn w:val="Institution"/>
    <w:pPr>
      <w:keepNext w:val="0"/>
      <w:spacing w:before="0"/>
      <w:ind w:left="-1080"/>
    </w:pPr>
    <w:rPr>
      <w:b w:val="0"/>
      <w:i/>
    </w:rPr>
  </w:style>
  <w:style w:type="paragraph" w:customStyle="1" w:styleId="Address">
    <w:name w:val="Address"/>
    <w:basedOn w:val="BodyText"/>
    <w:pPr>
      <w:keepLines/>
      <w:spacing w:after="0"/>
      <w:ind w:right="3960"/>
    </w:pPr>
    <w:rPr>
      <w:i w:val="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semiHidden/>
  </w:style>
  <w:style w:type="paragraph" w:styleId="ListBullet4">
    <w:name w:val="List Bullet 4"/>
    <w:basedOn w:val="ListBullet"/>
    <w:pPr>
      <w:ind w:left="1440" w:hanging="360"/>
    </w:pPr>
  </w:style>
  <w:style w:type="paragraph" w:styleId="ListBullet5">
    <w:name w:val="List Bullet 5"/>
    <w:basedOn w:val="ListBullet"/>
    <w:pPr>
      <w:ind w:left="1800" w:hanging="360"/>
    </w:pPr>
  </w:style>
  <w:style w:type="paragraph" w:customStyle="1" w:styleId="ListBulletFirst">
    <w:name w:val="List Bullet First"/>
    <w:basedOn w:val="ListBullet"/>
    <w:next w:val="ListBullet"/>
    <w:pPr>
      <w:spacing w:before="120"/>
    </w:pPr>
  </w:style>
  <w:style w:type="paragraph" w:customStyle="1" w:styleId="ListBulletLast">
    <w:name w:val="List Bullet Last"/>
    <w:basedOn w:val="ListBullet"/>
    <w:next w:val="Normal"/>
    <w:pPr>
      <w:spacing w:after="260"/>
    </w:pPr>
  </w:style>
  <w:style w:type="paragraph" w:customStyle="1" w:styleId="ListContinued">
    <w:name w:val="List Continued"/>
    <w:basedOn w:val="List"/>
    <w:pPr>
      <w:pBdr>
        <w:left w:val="single" w:sz="6" w:space="23" w:color="auto"/>
      </w:pBdr>
      <w:ind w:firstLine="0"/>
    </w:pPr>
  </w:style>
  <w:style w:type="paragraph" w:customStyle="1" w:styleId="ListContinued2">
    <w:name w:val="List Continued 2"/>
    <w:basedOn w:val="ListContinued"/>
    <w:pPr>
      <w:pBdr>
        <w:left w:val="none" w:sz="0" w:space="0" w:color="auto"/>
      </w:pBdr>
      <w:ind w:left="720"/>
    </w:pPr>
  </w:style>
  <w:style w:type="paragraph" w:customStyle="1" w:styleId="ListContinued3">
    <w:name w:val="List Continued 3"/>
    <w:basedOn w:val="ListContinued"/>
    <w:pPr>
      <w:pBdr>
        <w:left w:val="none" w:sz="0" w:space="0" w:color="auto"/>
      </w:pBdr>
      <w:ind w:left="1080"/>
    </w:pPr>
  </w:style>
  <w:style w:type="paragraph" w:customStyle="1" w:styleId="ListContinued4">
    <w:name w:val="List Continued 4"/>
    <w:basedOn w:val="ListContinued"/>
    <w:pPr>
      <w:pBdr>
        <w:left w:val="none" w:sz="0" w:space="0" w:color="auto"/>
      </w:pBdr>
      <w:ind w:left="1440"/>
    </w:pPr>
  </w:style>
  <w:style w:type="paragraph" w:customStyle="1" w:styleId="ListContinued5">
    <w:name w:val="List Continued 5"/>
    <w:basedOn w:val="ListContinued"/>
    <w:pPr>
      <w:pBdr>
        <w:left w:val="none" w:sz="0" w:space="0" w:color="auto"/>
      </w:pBdr>
      <w:ind w:left="1800"/>
    </w:pPr>
  </w:style>
  <w:style w:type="paragraph" w:customStyle="1" w:styleId="ListFirst">
    <w:name w:val="List First"/>
    <w:basedOn w:val="List"/>
    <w:next w:val="List"/>
    <w:pPr>
      <w:spacing w:before="120"/>
    </w:pPr>
  </w:style>
  <w:style w:type="paragraph" w:customStyle="1" w:styleId="ListLast">
    <w:name w:val="List Last"/>
    <w:basedOn w:val="List"/>
    <w:next w:val="Normal"/>
    <w:pPr>
      <w:spacing w:after="260"/>
    </w:pPr>
  </w:style>
  <w:style w:type="paragraph" w:styleId="ListNumber2">
    <w:name w:val="List Number 2"/>
    <w:basedOn w:val="ListNumber"/>
    <w:pPr>
      <w:ind w:left="720" w:hanging="360"/>
    </w:pPr>
  </w:style>
  <w:style w:type="paragraph" w:styleId="ListNumber3">
    <w:name w:val="List Number 3"/>
    <w:basedOn w:val="ListNumber"/>
    <w:pPr>
      <w:ind w:left="1080" w:hanging="360"/>
    </w:pPr>
  </w:style>
  <w:style w:type="paragraph" w:styleId="ListNumber4">
    <w:name w:val="List Number 4"/>
    <w:basedOn w:val="ListNumber"/>
    <w:pPr>
      <w:ind w:left="1440" w:hanging="360"/>
    </w:pPr>
  </w:style>
  <w:style w:type="paragraph" w:styleId="ListNumber5">
    <w:name w:val="List Number 5"/>
    <w:basedOn w:val="ListNumber"/>
    <w:pPr>
      <w:ind w:left="1800" w:hanging="360"/>
    </w:pPr>
  </w:style>
  <w:style w:type="paragraph" w:customStyle="1" w:styleId="ListNumberFirst">
    <w:name w:val="List Number First"/>
    <w:basedOn w:val="ListNumber"/>
    <w:next w:val="ListNumber"/>
    <w:pPr>
      <w:spacing w:before="120"/>
    </w:pPr>
  </w:style>
  <w:style w:type="paragraph" w:customStyle="1" w:styleId="ListNumberLast">
    <w:name w:val="List Number Last"/>
    <w:basedOn w:val="ListNumber"/>
    <w:next w:val="Normal"/>
    <w:pPr>
      <w:spacing w:after="260"/>
    </w:pPr>
  </w:style>
  <w:style w:type="paragraph" w:customStyle="1" w:styleId="PersonalData">
    <w:name w:val="Personal Data"/>
    <w:basedOn w:val="BodyText"/>
    <w:pPr>
      <w:spacing w:before="60" w:line="260" w:lineRule="exact"/>
      <w:ind w:left="-720" w:right="1440" w:hanging="720"/>
    </w:pPr>
    <w:rPr>
      <w:i w:val="0"/>
    </w:rPr>
  </w:style>
  <w:style w:type="paragraph" w:customStyle="1" w:styleId="SectionSubtitle">
    <w:name w:val="Section Subtitle"/>
    <w:basedOn w:val="SectionTitle"/>
    <w:next w:val="Normal"/>
    <w:pPr>
      <w:spacing w:before="120" w:after="60"/>
    </w:pPr>
    <w:rPr>
      <w:spacing w:val="0"/>
      <w:sz w:val="20"/>
    </w:rPr>
  </w:style>
  <w:style w:type="paragraph" w:customStyle="1" w:styleId="SectionTitle">
    <w:name w:val="Section Title"/>
    <w:basedOn w:val="HeadingBase"/>
    <w:pPr>
      <w:spacing w:before="260" w:after="120"/>
    </w:pPr>
  </w:style>
  <w:style w:type="character" w:customStyle="1" w:styleId="Superscript">
    <w:name w:val="Superscript"/>
    <w:rPr>
      <w:vertAlign w:val="superscript"/>
    </w:rPr>
  </w:style>
  <w:style w:type="paragraph" w:styleId="ListContinue">
    <w:name w:val="List Continue"/>
    <w:basedOn w:val="List"/>
    <w:pPr>
      <w:ind w:left="-1440" w:firstLine="0"/>
    </w:pPr>
  </w:style>
  <w:style w:type="paragraph" w:styleId="ListContinue2">
    <w:name w:val="List Continue 2"/>
    <w:basedOn w:val="ListContinue"/>
  </w:style>
  <w:style w:type="paragraph" w:styleId="ListContinue3">
    <w:name w:val="List Continue 3"/>
    <w:basedOn w:val="ListContinue"/>
  </w:style>
  <w:style w:type="paragraph" w:styleId="ListContinue4">
    <w:name w:val="List Continue 4"/>
    <w:basedOn w:val="ListContinue"/>
  </w:style>
  <w:style w:type="paragraph" w:styleId="ListContinue5">
    <w:name w:val="List Continue 5"/>
    <w:basedOn w:val="ListContinue"/>
  </w:style>
  <w:style w:type="character" w:customStyle="1" w:styleId="Supercript">
    <w:name w:val="Supercript"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rsid w:val="006C1397"/>
    <w:pPr>
      <w:overflowPunct/>
      <w:autoSpaceDE/>
      <w:autoSpaceDN/>
      <w:adjustRightInd/>
      <w:textAlignment w:val="auto"/>
    </w:pPr>
    <w:rPr>
      <w:rFonts w:eastAsia="SimSun"/>
      <w:szCs w:val="24"/>
      <w:lang w:val="en-GB" w:eastAsia="zh-CN"/>
    </w:rPr>
  </w:style>
  <w:style w:type="character" w:styleId="UnresolvedMention">
    <w:name w:val="Unresolved Mention"/>
    <w:uiPriority w:val="99"/>
    <w:semiHidden/>
    <w:unhideWhenUsed/>
    <w:rsid w:val="00AE5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CE53-7FA6-4199-BA71-1B7FBA55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Catherine Mary MacRobert</vt:lpstr>
    </vt:vector>
  </TitlesOfParts>
  <Company>University of Oxford</Company>
  <LinksUpToDate>false</LinksUpToDate>
  <CharactersWithSpaces>9083</CharactersWithSpaces>
  <SharedDoc>false</SharedDoc>
  <HLinks>
    <vt:vector size="12" baseType="variant"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https://e-knjige.ff.uni-lj.si/znanstvena-zalozba/catalog/book/172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https://owa.nexus.ox.ac.uk/owa/redir.aspx?SURL=kCeeoUrUJSqpEh-mX_xbkavTdW7cXI1wDeFdUssCr-UjJxIOqNHUCGgAdAB0AHAAcwA6AC8ALwB2AGkAdgBhAGwAZABpAC4AbgBsAHIALgByAHUALwBiAHgAMAAwADAAMAAwADgAMgA4ADgALwB2AGkAZQB3AA..&amp;URL=https%3a%2f%2fvivaldi.nlr.ru%2fbx000008288%2fview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Mary MacRobert</dc:title>
  <dc:subject/>
  <dc:creator>cmm</dc:creator>
  <cp:keywords/>
  <cp:lastModifiedBy>C M MacRobert</cp:lastModifiedBy>
  <cp:revision>3</cp:revision>
  <cp:lastPrinted>1999-11-23T16:44:00Z</cp:lastPrinted>
  <dcterms:created xsi:type="dcterms:W3CDTF">2024-07-23T08:11:00Z</dcterms:created>
  <dcterms:modified xsi:type="dcterms:W3CDTF">2024-07-23T08:19:00Z</dcterms:modified>
</cp:coreProperties>
</file>